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Calibri" w:hAnsi="Calibri"/>
          <w:b/>
          <w:color w:val="002266"/>
          <w:sz w:val="48"/>
        </w:rPr>
        <w:t>CITIBANK  KYC  RESEARCH  REPORT</w:t>
      </w:r>
    </w:p>
    <w:p>
      <w:pPr>
        <w:jc w:val="center"/>
      </w:pPr>
      <w:r>
        <w:rPr>
          <w:rFonts w:ascii="Calibri" w:hAnsi="Calibri"/>
          <w:color w:val="0066CC"/>
          <w:sz w:val="26"/>
        </w:rPr>
        <w:t>Digital Onboarding, Document Submission &amp; the Synthetic Media Threat</w:t>
      </w:r>
    </w:p>
    <w:p>
      <w:pPr>
        <w:jc w:val="center"/>
      </w:pPr>
      <w:r>
        <w:rPr>
          <w:rFonts w:ascii="Calibri" w:hAnsi="Calibri"/>
          <w:color w:val="666666"/>
          <w:sz w:val="18"/>
        </w:rPr>
        <w:t>Prepared for: Citibank AI Hackathon  |  February 2026</w:t>
      </w:r>
    </w:p>
    <w:p>
      <w:pPr>
        <w:pBdr>
          <w:bottom w:val="single" w:sz="6" w:space="1" w:color="002266"/>
        </w:pBdr>
        <w:spacing w:before="0" w:after="80"/>
      </w:pPr>
    </w:p>
    <w:p/>
    <w:p>
      <w:pPr>
        <w:spacing w:before="240" w:after="80"/>
      </w:pPr>
      <w:r>
        <w:rPr>
          <w:rFonts w:ascii="Calibri" w:hAnsi="Calibri"/>
          <w:b/>
          <w:color w:val="002266"/>
          <w:sz w:val="36"/>
        </w:rPr>
        <w:t>Executive Summary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Citibank's Know Your Customer (KYC) process has undergone a fundamental digital transformation over the past three years, anchored by the OneKYC global programme, the CitiDirect® Commercial Banking platform, and a $30 billion technology investment spanning 2022–2025. Digital onboarding now covers 90 % of incoming account requests, e-signatures are accepted in 72 countries, and onboarding turnaround time has been cut by 41 %.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However, this digital acceleration has coincided with an explosive surge in AI-generated fraud. Deepfake fraud attempts in the United States rose more than 1,100 % in Q1 2025 alone, and 95 % of synthetic identities go undetected during the onboarding process at financial institutions. Regulators have responded forcefully: FinCEN issued formal alert FIN-2024-DEEPFAKEFRAUD in November 2024, and global AML/KYC penalties reached $4.5 billion in 2024.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This report synthesises Citi's current KYC digital infrastructure, the document submission workflow, the emerging threat landscape, the regulatory environment, and the strategic opportunity to embed AI-powered synthetic media detection directly into Citi's client intake processes.</w:t>
      </w:r>
    </w:p>
    <w:p>
      <w:pPr>
        <w:pBdr>
          <w:bottom w:val="single" w:sz="6" w:space="1" w:color="002266"/>
        </w:pBd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002266"/>
          <w:sz w:val="36"/>
        </w:rPr>
        <w:t>Key Statistics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41%</w:t>
            </w:r>
          </w:p>
        </w:tc>
        <w:tc>
          <w:tcPr>
            <w:tcW w:type="dxa" w:w="2351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72</w:t>
            </w:r>
          </w:p>
        </w:tc>
        <w:tc>
          <w:tcPr>
            <w:tcW w:type="dxa" w:w="2351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90%</w:t>
            </w:r>
          </w:p>
        </w:tc>
        <w:tc>
          <w:tcPr>
            <w:tcW w:type="dxa" w:w="2351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49</w:t>
            </w:r>
          </w:p>
        </w:tc>
      </w:tr>
      <w:tr>
        <w:tc>
          <w:tcPr>
            <w:tcW w:type="dxa" w:w="2351"/>
            <w:shd w:val="clear" w:color="auto" w:fill="E5F2FF"/>
          </w:tcPr>
          <w:p>
            <w:pPr>
              <w:jc w:val="center"/>
            </w:pPr>
            <w:r>
              <w:rPr>
                <w:rFonts w:ascii="Calibri" w:hAnsi="Calibri"/>
                <w:color w:val="002266"/>
                <w:sz w:val="17"/>
              </w:rPr>
              <w:t>Reduction in</w:t>
              <w:br/>
              <w:t>onboarding time</w:t>
            </w:r>
          </w:p>
        </w:tc>
        <w:tc>
          <w:tcPr>
            <w:tcW w:type="dxa" w:w="2351"/>
            <w:shd w:val="clear" w:color="auto" w:fill="E5F2FF"/>
          </w:tcPr>
          <w:p>
            <w:pPr>
              <w:jc w:val="center"/>
            </w:pPr>
            <w:r>
              <w:rPr>
                <w:rFonts w:ascii="Calibri" w:hAnsi="Calibri"/>
                <w:color w:val="002266"/>
                <w:sz w:val="17"/>
              </w:rPr>
              <w:t>Countries with</w:t>
              <w:br/>
              <w:t>e-signature support</w:t>
            </w:r>
          </w:p>
        </w:tc>
        <w:tc>
          <w:tcPr>
            <w:tcW w:type="dxa" w:w="2351"/>
            <w:shd w:val="clear" w:color="auto" w:fill="E5F2FF"/>
          </w:tcPr>
          <w:p>
            <w:pPr>
              <w:jc w:val="center"/>
            </w:pPr>
            <w:r>
              <w:rPr>
                <w:rFonts w:ascii="Calibri" w:hAnsi="Calibri"/>
                <w:color w:val="002266"/>
                <w:sz w:val="17"/>
              </w:rPr>
              <w:t>Account requests</w:t>
              <w:br/>
              <w:t>handled digitally</w:t>
            </w:r>
          </w:p>
        </w:tc>
        <w:tc>
          <w:tcPr>
            <w:tcW w:type="dxa" w:w="2351"/>
            <w:shd w:val="clear" w:color="auto" w:fill="E5F2FF"/>
          </w:tcPr>
          <w:p>
            <w:pPr>
              <w:jc w:val="center"/>
            </w:pPr>
            <w:r>
              <w:rPr>
                <w:rFonts w:ascii="Calibri" w:hAnsi="Calibri"/>
                <w:color w:val="002266"/>
                <w:sz w:val="17"/>
              </w:rPr>
              <w:t>Countries with</w:t>
              <w:br/>
              <w:t>digital account opening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+1,100%</w:t>
            </w:r>
          </w:p>
        </w:tc>
        <w:tc>
          <w:tcPr>
            <w:tcW w:type="dxa" w:w="2351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95%</w:t>
            </w:r>
          </w:p>
        </w:tc>
        <w:tc>
          <w:tcPr>
            <w:tcW w:type="dxa" w:w="2351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$4.5B</w:t>
            </w:r>
          </w:p>
        </w:tc>
        <w:tc>
          <w:tcPr>
            <w:tcW w:type="dxa" w:w="2351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$40B</w:t>
            </w:r>
          </w:p>
        </w:tc>
      </w:tr>
      <w:tr>
        <w:tc>
          <w:tcPr>
            <w:tcW w:type="dxa" w:w="2351"/>
            <w:shd w:val="clear" w:color="auto" w:fill="E5F2FF"/>
          </w:tcPr>
          <w:p>
            <w:pPr>
              <w:jc w:val="center"/>
            </w:pPr>
            <w:r>
              <w:rPr>
                <w:rFonts w:ascii="Calibri" w:hAnsi="Calibri"/>
                <w:color w:val="002266"/>
                <w:sz w:val="17"/>
              </w:rPr>
              <w:t>US deepfake fraud</w:t>
              <w:br/>
              <w:t>attempts, Q1 2025</w:t>
            </w:r>
          </w:p>
        </w:tc>
        <w:tc>
          <w:tcPr>
            <w:tcW w:type="dxa" w:w="2351"/>
            <w:shd w:val="clear" w:color="auto" w:fill="E5F2FF"/>
          </w:tcPr>
          <w:p>
            <w:pPr>
              <w:jc w:val="center"/>
            </w:pPr>
            <w:r>
              <w:rPr>
                <w:rFonts w:ascii="Calibri" w:hAnsi="Calibri"/>
                <w:color w:val="002266"/>
                <w:sz w:val="17"/>
              </w:rPr>
              <w:t>Synthetic IDs</w:t>
              <w:br/>
              <w:t>undetected at onboarding</w:t>
            </w:r>
          </w:p>
        </w:tc>
        <w:tc>
          <w:tcPr>
            <w:tcW w:type="dxa" w:w="2351"/>
            <w:shd w:val="clear" w:color="auto" w:fill="E5F2FF"/>
          </w:tcPr>
          <w:p>
            <w:pPr>
              <w:jc w:val="center"/>
            </w:pPr>
            <w:r>
              <w:rPr>
                <w:rFonts w:ascii="Calibri" w:hAnsi="Calibri"/>
                <w:color w:val="002266"/>
                <w:sz w:val="17"/>
              </w:rPr>
              <w:t>Global AML/KYC</w:t>
              <w:br/>
              <w:t>penalties in 2024</w:t>
            </w:r>
          </w:p>
        </w:tc>
        <w:tc>
          <w:tcPr>
            <w:tcW w:type="dxa" w:w="2351"/>
            <w:shd w:val="clear" w:color="auto" w:fill="E5F2FF"/>
          </w:tcPr>
          <w:p>
            <w:pPr>
              <w:jc w:val="center"/>
            </w:pPr>
            <w:r>
              <w:rPr>
                <w:rFonts w:ascii="Calibri" w:hAnsi="Calibri"/>
                <w:color w:val="002266"/>
                <w:sz w:val="17"/>
              </w:rPr>
              <w:t>Projected US AI fraud</w:t>
              <w:br/>
              <w:t>losses by 2027 (Deloitte)</w:t>
            </w:r>
          </w:p>
        </w:tc>
      </w:tr>
    </w:tbl>
    <w:p/>
    <w:p>
      <w:pPr>
        <w:pBdr>
          <w:bottom w:val="single" w:sz="6" w:space="1" w:color="002266"/>
        </w:pBd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002266"/>
          <w:sz w:val="36"/>
        </w:rPr>
        <w:t>1.  OneKYC Program — Global Unified Framework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Citibank operates a OneKYC Program that unifies its Know Your Customer process across all geographies under four pillars:</w:t>
      </w:r>
    </w:p>
    <w:p>
      <w:pPr>
        <w:pStyle w:val="ListBullet"/>
        <w:spacing w:after="40"/>
      </w:pPr>
      <w:r>
        <w:rPr>
          <w:rFonts w:ascii="Calibri" w:hAnsi="Calibri"/>
          <w:b/>
          <w:color w:val="333333"/>
          <w:sz w:val="21"/>
        </w:rPr>
        <w:t xml:space="preserve">One Global Policy — </w:t>
      </w:r>
      <w:r>
        <w:rPr>
          <w:rFonts w:ascii="Calibri" w:hAnsi="Calibri"/>
          <w:color w:val="333333"/>
          <w:sz w:val="21"/>
        </w:rPr>
        <w:t>One global policy aligned with the highest regulatory standard Citi has adopted as its baseline</w:t>
      </w:r>
    </w:p>
    <w:p>
      <w:pPr>
        <w:pStyle w:val="ListBullet"/>
        <w:spacing w:after="40"/>
      </w:pPr>
      <w:r>
        <w:rPr>
          <w:rFonts w:ascii="Calibri" w:hAnsi="Calibri"/>
          <w:b/>
          <w:color w:val="333333"/>
          <w:sz w:val="21"/>
        </w:rPr>
        <w:t xml:space="preserve">One Risk Scoring Model — </w:t>
      </w:r>
      <w:r>
        <w:rPr>
          <w:rFonts w:ascii="Calibri" w:hAnsi="Calibri"/>
          <w:color w:val="333333"/>
          <w:sz w:val="21"/>
        </w:rPr>
        <w:t>Applied consistently worldwide, adjusting for local requirements that exceed the US baseline</w:t>
      </w:r>
    </w:p>
    <w:p>
      <w:pPr>
        <w:pStyle w:val="ListBullet"/>
        <w:spacing w:after="40"/>
      </w:pPr>
      <w:r>
        <w:rPr>
          <w:rFonts w:ascii="Calibri" w:hAnsi="Calibri"/>
          <w:b/>
          <w:color w:val="333333"/>
          <w:sz w:val="21"/>
        </w:rPr>
        <w:t xml:space="preserve">One Data Repository — </w:t>
      </w:r>
      <w:r>
        <w:rPr>
          <w:rFonts w:ascii="Calibri" w:hAnsi="Calibri"/>
          <w:color w:val="333333"/>
          <w:sz w:val="21"/>
        </w:rPr>
        <w:t>CitiKYC — the single enterprise data repository acting as source of truth for all KYC records</w:t>
      </w:r>
    </w:p>
    <w:p>
      <w:pPr>
        <w:pStyle w:val="ListBullet"/>
        <w:spacing w:after="40"/>
      </w:pPr>
      <w:r>
        <w:rPr>
          <w:rFonts w:ascii="Calibri" w:hAnsi="Calibri"/>
          <w:b/>
          <w:color w:val="333333"/>
          <w:sz w:val="21"/>
        </w:rPr>
        <w:t xml:space="preserve">Unified Governance — </w:t>
      </w:r>
      <w:r>
        <w:rPr>
          <w:rFonts w:ascii="Calibri" w:hAnsi="Calibri"/>
          <w:color w:val="333333"/>
          <w:sz w:val="21"/>
        </w:rPr>
        <w:t>Spanning more than 100 countries where Citi conducts business</w:t>
      </w:r>
    </w:p>
    <w:p/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The OneKYC Program exists to prevent the flow of illicit funds through the global financial system and to ensure that local regulatory requirements — some of which exceed Citi's US baseline — are consistently met across all jurisdictions.</w:t>
      </w:r>
    </w:p>
    <w:p>
      <w:pPr>
        <w:pBdr>
          <w:bottom w:val="single" w:sz="6" w:space="1" w:color="002266"/>
        </w:pBd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002266"/>
          <w:sz w:val="36"/>
        </w:rPr>
        <w:t>2.  CitiDirect® — Digital Onboarding Platform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CitiDirect® Commercial Banking is Citi's flagship client-facing platform, providing a 360° consolidated view of the entire banking relationship — Cash, Loans, Trade, FX, Servicing, and KYC Onboarding — within a single digital interface.</w:t>
      </w:r>
    </w:p>
    <w:p>
      <w:pPr>
        <w:spacing w:before="160" w:after="80"/>
      </w:pPr>
      <w:r>
        <w:rPr>
          <w:rFonts w:ascii="Calibri" w:hAnsi="Calibri"/>
          <w:b/>
          <w:color w:val="002266"/>
          <w:sz w:val="28"/>
        </w:rPr>
        <w:t>2.1  Core Digital Onboarding Capabilities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703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Streamlined Onboarding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Fully digitised process with real-time status updates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Onboarding Time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Cut by 41% since digital rollout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Country Coverage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Account opening expedited in 49 countries and jurisdictions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Digital Request Coverage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90% of incoming account requests handled digitally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E-Signatures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Supported in 72 countries and jurisdictions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KYC Renewals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'One field, one-time' — pre-filled data, automated notifications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Document Submission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Single unified checklist: Account Opening + KYC + Product docs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Digital Servicing Hub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Centralises client queries, updates, and document submissions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ERP Integration (Integrator)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Implementation time reduced from 7 weeks to under 1 day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002266"/>
          <w:sz w:val="28"/>
        </w:rPr>
        <w:t>2.2  Documentation 2.0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As part of the CitiDirect onboarding experience, Citi introduced Documentation 2.0 — a restructuring of all onboarding documents designed to: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Eliminate local country-specific terms wherever possible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Centralise essential legal terms into a simplified, global structure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Reduce document complexity and client friction during cross-border onboarding</w:t>
      </w:r>
    </w:p>
    <w:p>
      <w:pPr>
        <w:pBdr>
          <w:bottom w:val="single" w:sz="6" w:space="1" w:color="002266"/>
        </w:pBd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002266"/>
          <w:sz w:val="36"/>
        </w:rPr>
        <w:t>3.  AML/KYC Document Submission Requirements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Citi's document requirements vary by jurisdiction and client entity type, but typically include the following categories:</w:t>
      </w:r>
    </w:p>
    <w:p>
      <w:pPr>
        <w:spacing w:before="160" w:after="80"/>
      </w:pPr>
      <w:r>
        <w:rPr>
          <w:rFonts w:ascii="Calibri" w:hAnsi="Calibri"/>
          <w:b/>
          <w:color w:val="002266"/>
          <w:sz w:val="28"/>
        </w:rPr>
        <w:t>3.1  Corporate Entity Documents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Certificate of Incorporation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Articles of Association / Constitution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Board resolutions authorising account opening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Register of directors and shareholders</w:t>
      </w:r>
    </w:p>
    <w:p>
      <w:pPr>
        <w:spacing w:before="160" w:after="80"/>
      </w:pPr>
      <w:r>
        <w:rPr>
          <w:rFonts w:ascii="Calibri" w:hAnsi="Calibri"/>
          <w:b/>
          <w:color w:val="002266"/>
          <w:sz w:val="28"/>
        </w:rPr>
        <w:t>3.2  Beneficial Ownership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Identification of all beneficial owners above applicable thresholds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Personal identification for directors, shareholders, and account operators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In many jurisdictions: formal identification of persons operating the account</w:t>
      </w:r>
    </w:p>
    <w:p>
      <w:pPr>
        <w:spacing w:before="160" w:after="80"/>
      </w:pPr>
      <w:r>
        <w:rPr>
          <w:rFonts w:ascii="Calibri" w:hAnsi="Calibri"/>
          <w:b/>
          <w:color w:val="002266"/>
          <w:sz w:val="28"/>
        </w:rPr>
        <w:t>3.3  Business Purpose &amp; AML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Documentation explaining nature and purpose of the banking relationship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Source of funds declaration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Anticipated transaction volumes and counterparties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E0E0"/>
          </w:tcPr>
          <w:p>
            <w:r>
              <w:rPr>
                <w:rFonts w:ascii="Calibri" w:hAnsi="Calibri"/>
                <w:i/>
                <w:color w:val="333333"/>
                <w:sz w:val="20"/>
              </w:rPr>
              <w:t>⚠  Critical Compliance Point: Account openings cannot be completed until ALL AML/KYC requirements are fully satisfied — with no exceptions. This creates a high-stakes verification chokepoint that is now directly targeted by AI-generated document fraud.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002266"/>
          <w:sz w:val="28"/>
        </w:rPr>
        <w:t>3.4  SWIFT KYC Registry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Citi is a contributor and active user of the SWIFT KYC Registry — an inter-bank information-exchange platform enabling financial institutions to share verified KYC data centrally. This increases transparency and simplifies correspondent banking relationships by eliminating redundant document requests across institutions.</w:t>
      </w:r>
    </w:p>
    <w:p>
      <w:pPr>
        <w:pBdr>
          <w:bottom w:val="single" w:sz="6" w:space="1" w:color="002266"/>
        </w:pBd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002266"/>
          <w:sz w:val="36"/>
        </w:rPr>
        <w:t>4.  Fenergo Platform — Transfer Agency (2025)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In 2025, Citi's Global Transfer Agency business deployed Fenergo's Client Lifecycle Management platform for regulated funds across Europe. Key capabilities include: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Customised, policy-driven risk assessment for AML and KYC checks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Automated data validations reducing manual review workload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Real-time reporting via API connectivity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More seamless investor onboarding and ongoing due diligence</w:t>
      </w:r>
    </w:p>
    <w:p>
      <w:pPr>
        <w:pBdr>
          <w:bottom w:val="single" w:sz="6" w:space="1" w:color="002266"/>
        </w:pBd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002266"/>
          <w:sz w:val="36"/>
        </w:rPr>
        <w:t>5.  Citi's AML Control Lifecycle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Citi structures its AML compliance programme across three sequential phases: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703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Key Activities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1. Prevention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OneKYC policy enforcement; customer risk scoring; CitiKYC data repository; Beneficial Ownership Rule compliance; SWIFT KYC Registry participation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2. Detection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AI/ML-powered transaction monitoring; anomaly detection; behavioural analytics; real-time risk scoring in Treasury &amp; Trade Solutions; NLP screening of unstructured data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3. Reporting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Suspicious Activity Report (SAR) filing; regulatory reporting; FinCEN/FCA/local regulator liaison; SAR tagging with alert codes (e.g. FIN-2024-DEEPFAKEFRAUD)</w:t>
            </w:r>
          </w:p>
        </w:tc>
      </w:tr>
    </w:tbl>
    <w:p/>
    <w:p>
      <w:pPr>
        <w:pBdr>
          <w:bottom w:val="single" w:sz="6" w:space="1" w:color="002266"/>
        </w:pBd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002266"/>
          <w:sz w:val="36"/>
        </w:rPr>
        <w:t>6.  Citibank's AI &amp; Technology Strategy</w:t>
      </w:r>
    </w:p>
    <w:p>
      <w:pPr>
        <w:spacing w:before="160" w:after="80"/>
      </w:pPr>
      <w:r>
        <w:rPr>
          <w:rFonts w:ascii="Calibri" w:hAnsi="Calibri"/>
          <w:b/>
          <w:color w:val="002266"/>
          <w:sz w:val="28"/>
        </w:rPr>
        <w:t>6.1  Scale of Investment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$12B</w:t>
            </w:r>
          </w:p>
        </w:tc>
        <w:tc>
          <w:tcPr>
            <w:tcW w:type="dxa" w:w="2351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$30B+</w:t>
            </w:r>
          </w:p>
        </w:tc>
        <w:tc>
          <w:tcPr>
            <w:tcW w:type="dxa" w:w="2351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$2.4B</w:t>
            </w:r>
          </w:p>
        </w:tc>
        <w:tc>
          <w:tcPr>
            <w:tcW w:type="dxa" w:w="2351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2,000+</w:t>
            </w:r>
          </w:p>
        </w:tc>
      </w:tr>
      <w:tr>
        <w:tc>
          <w:tcPr>
            <w:tcW w:type="dxa" w:w="2351"/>
            <w:shd w:val="clear" w:color="auto" w:fill="E5F2FF"/>
          </w:tcPr>
          <w:p>
            <w:pPr>
              <w:jc w:val="center"/>
            </w:pPr>
            <w:r>
              <w:rPr>
                <w:rFonts w:ascii="Calibri" w:hAnsi="Calibri"/>
                <w:color w:val="002266"/>
                <w:sz w:val="17"/>
              </w:rPr>
              <w:t>Technology investment</w:t>
              <w:br/>
              <w:t>in 2024 alone</w:t>
            </w:r>
          </w:p>
        </w:tc>
        <w:tc>
          <w:tcPr>
            <w:tcW w:type="dxa" w:w="2351"/>
            <w:shd w:val="clear" w:color="auto" w:fill="E5F2FF"/>
          </w:tcPr>
          <w:p>
            <w:pPr>
              <w:jc w:val="center"/>
            </w:pPr>
            <w:r>
              <w:rPr>
                <w:rFonts w:ascii="Calibri" w:hAnsi="Calibri"/>
                <w:color w:val="002266"/>
                <w:sz w:val="17"/>
              </w:rPr>
              <w:t>Total tech investment</w:t>
              <w:br/>
              <w:t>over 3 years</w:t>
            </w:r>
          </w:p>
        </w:tc>
        <w:tc>
          <w:tcPr>
            <w:tcW w:type="dxa" w:w="2351"/>
            <w:shd w:val="clear" w:color="auto" w:fill="E5F2FF"/>
          </w:tcPr>
          <w:p>
            <w:pPr>
              <w:jc w:val="center"/>
            </w:pPr>
            <w:r>
              <w:rPr>
                <w:rFonts w:ascii="Calibri" w:hAnsi="Calibri"/>
                <w:color w:val="002266"/>
                <w:sz w:val="17"/>
              </w:rPr>
              <w:t>Tech spend in</w:t>
              <w:br/>
              <w:t>Q1 2025</w:t>
            </w:r>
          </w:p>
        </w:tc>
        <w:tc>
          <w:tcPr>
            <w:tcW w:type="dxa" w:w="2351"/>
            <w:shd w:val="clear" w:color="auto" w:fill="E5F2FF"/>
          </w:tcPr>
          <w:p>
            <w:pPr>
              <w:jc w:val="center"/>
            </w:pPr>
            <w:r>
              <w:rPr>
                <w:rFonts w:ascii="Calibri" w:hAnsi="Calibri"/>
                <w:color w:val="002266"/>
                <w:sz w:val="17"/>
              </w:rPr>
              <w:t>Legacy apps</w:t>
              <w:br/>
              <w:t>decommissioned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002266"/>
          <w:sz w:val="28"/>
        </w:rPr>
        <w:t>6.2  Google Cloud Strategic Partnership (October 2024)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Citi signed a multi-year strategic agreement with Google Cloud to modernise its technology infrastructure and accelerate AI capabilities: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Migration of multiple workloads and applications to Google Cloud's secure, scalable infrastructure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High-performance computing enabling millions of financial calculations daily in Citi's Markets business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Co-engineering partnership — not a simple vendor contract — designed to modernise core banking infrastructure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Enhanced AI/ML model deployment for fraud prevention and compliance automation</w:t>
      </w:r>
    </w:p>
    <w:p>
      <w:pPr>
        <w:spacing w:before="160" w:after="80"/>
      </w:pPr>
      <w:r>
        <w:rPr>
          <w:rFonts w:ascii="Calibri" w:hAnsi="Calibri"/>
          <w:b/>
          <w:color w:val="002266"/>
          <w:sz w:val="28"/>
        </w:rPr>
        <w:t>6.3  Internal AI Tool Deployments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4703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Citi Stylus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Document intelligence — automated extraction from regulatory and client documents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Citi Assist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Knowledge management assistant for compliance and operations teams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AskWealth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Generative AI assistant for wealth advisory teams — market insights and research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Advisor Insights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ML-based markets dashboard for wealth advisors (pilot phase)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AI Coding Tools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Deployed to 30,000 developers; ~220,000 automated code reviews completed</w:t>
            </w:r>
          </w:p>
        </w:tc>
      </w:tr>
    </w:tbl>
    <w:p/>
    <w:p>
      <w:pPr>
        <w:pBdr>
          <w:bottom w:val="single" w:sz="6" w:space="1" w:color="002266"/>
        </w:pBd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002266"/>
          <w:sz w:val="36"/>
        </w:rPr>
        <w:t>7.  The Threat: AI-Generated Content in KYC Workflows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The same generative AI tools that power legitimate productivity gains are being weaponised to create synthetic identities and fraudulent documents at unprecedented scale — directly targeting the KYC onboarding chokepoint.</w:t>
      </w:r>
    </w:p>
    <w:p>
      <w:pPr>
        <w:spacing w:before="160" w:after="80"/>
      </w:pPr>
      <w:r>
        <w:rPr>
          <w:rFonts w:ascii="Calibri" w:hAnsi="Calibri"/>
          <w:b/>
          <w:color w:val="002266"/>
          <w:sz w:val="28"/>
        </w:rPr>
        <w:t>7.1  Scale of the Problem (2024–2025)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35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Figure</w:t>
            </w:r>
          </w:p>
        </w:tc>
        <w:tc>
          <w:tcPr>
            <w:tcW w:type="dxa" w:w="3135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Deepfake fraud attempts, US (Q1 2025)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+1,100% YoY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FinCEN / Veriff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Synthetic-ID document fraud (Q1 2025)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+300% YoY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BankInfoSecurity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Deepfake files in circulation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500K (2023) → 8M (2025)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SQ Magazine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Deepfake fraud losses, H1 2025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$410M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DuckDuckGoose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Cumulative deepfake losses since 2019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~$900M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DuckDuckGoose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Average loss per financial sector company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$600,000+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Regula Survey 2024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Financial firms losing $1M+ to deepfakes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23%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Regula Survey 2024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Banks experiencing increased fraud (2024)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50%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Themis Study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Synthetic identities undetected at onboarding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95%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Themis Study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Global AML/KYC penalties, 2024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$4.5 billion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Multiple regulators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Projected US AI fraud losses by 2027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$40 billion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Deloitte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Deepfake detection market growth (2023–2026)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3× expansion projected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Industry analysts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002266"/>
          <w:sz w:val="28"/>
        </w:rPr>
        <w:t>7.2  Primary Attack Vectors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1"/>
        </w:rPr>
        <w:t>Synthetic Identity Fraud at Onboarding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GenAI creates realistic fake or altered government IDs, utility bills, and bank statements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LLMs fabricate complete personal histories — employment records, addresses, financial behaviour — giving synthetic IDs the depth KYC processes expect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Fraudsters bypass liveness checks via third-party webcam plugins or faked 'technical glitches' during video verification</w:t>
      </w:r>
    </w:p>
    <w:p/>
    <w:p>
      <w:pPr>
        <w:spacing w:after="80"/>
      </w:pPr>
      <w:r>
        <w:rPr>
          <w:rFonts w:ascii="Calibri" w:hAnsi="Calibri"/>
          <w:b/>
          <w:i w:val="0"/>
          <w:color w:val="333333"/>
          <w:sz w:val="21"/>
        </w:rPr>
        <w:t>Deepfake Video Call Fraud</w:t>
      </w:r>
    </w:p>
    <w:p>
      <w:pPr>
        <w:pStyle w:val="ListBullet"/>
        <w:spacing w:after="40"/>
      </w:pPr>
      <w:r>
        <w:rPr>
          <w:rFonts w:ascii="Calibri" w:hAnsi="Calibri"/>
          <w:b/>
          <w:color w:val="333333"/>
          <w:sz w:val="21"/>
        </w:rPr>
        <w:t xml:space="preserve">Case Study — </w:t>
      </w:r>
      <w:r>
        <w:rPr>
          <w:rFonts w:ascii="Calibri" w:hAnsi="Calibri"/>
          <w:color w:val="333333"/>
          <w:sz w:val="21"/>
        </w:rPr>
        <w:t>February 2024, Hong Kong (Arup): An employee was directed to transfer HK$200M (~$25.6M USD) after a multi-participant video call where every 'executive' was a real-time deepfake. All 15 transactions were authorised before the fraud was discovered.</w:t>
      </w:r>
    </w:p>
    <w:p/>
    <w:p>
      <w:pPr>
        <w:spacing w:after="80"/>
      </w:pPr>
      <w:r>
        <w:rPr>
          <w:rFonts w:ascii="Calibri" w:hAnsi="Calibri"/>
          <w:b/>
          <w:i w:val="0"/>
          <w:color w:val="333333"/>
          <w:sz w:val="21"/>
        </w:rPr>
        <w:t>AI-Cloned Voice Fraud at Call Centres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Attackers impersonate customers using voice-cloned audio to trigger account resets or wire transfers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35% of UK businesses were directly targeted by AI-enabled voice-cloning scams in 2024/25</w:t>
      </w:r>
    </w:p>
    <w:p/>
    <w:p>
      <w:pPr>
        <w:spacing w:after="80"/>
      </w:pPr>
      <w:r>
        <w:rPr>
          <w:rFonts w:ascii="Calibri" w:hAnsi="Calibri"/>
          <w:b/>
          <w:i w:val="0"/>
          <w:color w:val="333333"/>
          <w:sz w:val="21"/>
        </w:rPr>
        <w:t>AI-Generated Document Packages in KYC Submissions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Entire document packages — IDs, proof of address, corporate records — fabricated with generative AI, passing visual inspection and many automated checks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LLMs generate consistent synthetic personal histories that align across all submitted documents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5F2FF"/>
          </w:tcPr>
          <w:p>
            <w:r>
              <w:rPr>
                <w:rFonts w:ascii="Calibri" w:hAnsi="Calibri"/>
                <w:i/>
                <w:color w:val="333333"/>
                <w:sz w:val="20"/>
              </w:rPr>
              <w:t>"Only 0.1% of people asked to identify deepfakes correctly identified all deepfakes and real stimuli." Human review is effectively useless as a standalone defence against modern AI-generated content.</w:t>
            </w:r>
          </w:p>
        </w:tc>
      </w:tr>
    </w:tbl>
    <w:p/>
    <w:p>
      <w:pPr>
        <w:pBdr>
          <w:bottom w:val="single" w:sz="6" w:space="1" w:color="002266"/>
        </w:pBd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002266"/>
          <w:sz w:val="36"/>
        </w:rPr>
        <w:t>8.  Regulatory Imperatives</w:t>
      </w:r>
    </w:p>
    <w:p>
      <w:pPr>
        <w:spacing w:before="160" w:after="80"/>
      </w:pPr>
      <w:r>
        <w:rPr>
          <w:rFonts w:ascii="Calibri" w:hAnsi="Calibri"/>
          <w:b/>
          <w:color w:val="002266"/>
          <w:sz w:val="28"/>
        </w:rPr>
        <w:t>8.1  FinCEN Deepfake Alert — FIN-2024-DEEPFAKEFRAUD (November 13, 2024)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The US Financial Crimes Enforcement Network issued its landmark formal alert requiring financial institutions to: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Identify and guard against fraud using GenAI-created deepfake media in client intake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Watch for red flags: deepfake-flagged photos/videos, AI-generated text in customer profiles, geographic/device inconsistencies with submitted documents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File Suspicious Activity Reports referencing FIN-2024-DEEPFAKEFRAUD in SAR field 2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The Treasury Department formally recognised that GenAI tools are being used to create fraudulent identity documents circumventing standard verification</w:t>
      </w:r>
    </w:p>
    <w:p>
      <w:pPr>
        <w:spacing w:before="160" w:after="80"/>
      </w:pPr>
      <w:r>
        <w:rPr>
          <w:rFonts w:ascii="Calibri" w:hAnsi="Calibri"/>
          <w:b/>
          <w:color w:val="002266"/>
          <w:sz w:val="28"/>
        </w:rPr>
        <w:t>8.2  Global Regulatory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Regulatory Body</w:t>
            </w:r>
          </w:p>
        </w:tc>
        <w:tc>
          <w:tcPr>
            <w:tcW w:type="dxa" w:w="4703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Key 2024–2025 Action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FinCEN (US)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FIN-2024-DEEPFAKEFRAUD alert (Nov 2024); Beneficial Ownership Rule (Jan 2024)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FATF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Explicit AI/deepfake identity guidance; name-matching alone deemed insufficient; Travel Rule (Rec. 16) revision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EU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EU AI Act: penalties up to €35M or 7% of global turnover; AMLA launch; AML Regulation harmonising KYC standards across member states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FCA (UK)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£176M in fines in 2024 (3× year-on-year); 'failure to prevent fraud' law enacted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NYDFS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Deepfake detection required as part of baseline cyber programmes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MAS (Singapore)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Best practices for deepfake mitigation in financial services published Sept 2025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OCC (US)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Guidelines demanding transparency and explainability in AI-driven KYC decisions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002266"/>
          <w:sz w:val="28"/>
        </w:rPr>
        <w:t>8.3  Enforcement Trend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Global regulators levied approximately 139 financial penalties in H1 2025 alone, totalling $1.23 billion — a 417% increase vs the same period in 2024. The FCA levied £176M in fines in all of 2024 (approximately 3× year-on-year). These figures underscore that the cost of non-compliance now vastly exceeds the cost of implementing robust AI-detection controls.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E0E0"/>
          </w:tcPr>
          <w:p>
            <w:r>
              <w:rPr>
                <w:rFonts w:ascii="Calibri" w:hAnsi="Calibri"/>
                <w:i/>
                <w:color w:val="333333"/>
                <w:sz w:val="20"/>
              </w:rPr>
              <w:t>TD Bank case study: Over $670M was laundered through TD Bank accounts — 'not because controls were absent, but because they were built for a world of forged documents and stolen IDs, not one of scalable synthetic identities and deepfaked video verification.'</w:t>
            </w:r>
          </w:p>
        </w:tc>
      </w:tr>
    </w:tbl>
    <w:p/>
    <w:p>
      <w:pPr>
        <w:pBdr>
          <w:bottom w:val="single" w:sz="6" w:space="1" w:color="002266"/>
        </w:pBd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002266"/>
          <w:sz w:val="36"/>
        </w:rPr>
        <w:t>9.  Industry Response: What Leading Institutions Are Doing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4703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Perpetual KYC (pKYC)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Continuous automated monitoring replacing static one-time checks. Triggers alerts on sudden changes in risk profile, cross-border transaction spikes, or ownership changes.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Agentic AI KYC Factories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One global bank deployed a 10-agent-squad AI architecture covering the full KYC workflow — from initial trigger to final decision memo — autonomously.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Liveness Detection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Multi-frame biometric analysis distinguishing live persons from replayed or AI-generated video during video verification calls.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Document Forensics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Pixel-level analysis detecting generation artefacts, inconsistent fonts, metadata anomalies, and compression signatures in submitted documents.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Multimodal Fusion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Combining image, audio, text, and behavioural signals for ensemble fraud scoring that is far more robust than any single modality.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Voice Biometrics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Frequency-domain analysis and micro-pattern detection to identify AI-cloned voice audio used in call-centre impersonation attacks.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5F2FF"/>
          </w:tcPr>
          <w:p>
            <w:r>
              <w:rPr>
                <w:rFonts w:ascii="Calibri" w:hAnsi="Calibri"/>
                <w:i/>
                <w:color w:val="333333"/>
                <w:sz w:val="20"/>
              </w:rPr>
              <w:t>Banks assign 10–15% of all full-time staff to KYC/AML, yet financial institutions detect only ~2% of global financial crime flows (Interpol). The imperative for AI-augmented detection is clear — current investment is not delivering adequate results.</w:t>
            </w:r>
          </w:p>
        </w:tc>
      </w:tr>
    </w:tbl>
    <w:p/>
    <w:p>
      <w:pPr>
        <w:pBdr>
          <w:bottom w:val="single" w:sz="6" w:space="1" w:color="002266"/>
        </w:pBd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002266"/>
          <w:sz w:val="36"/>
        </w:rPr>
        <w:t>10.  Citibank's Specific Vulnerabilities &amp; Strategic Opportunity</w:t>
      </w:r>
    </w:p>
    <w:p>
      <w:pPr>
        <w:spacing w:before="160" w:after="80"/>
      </w:pPr>
      <w:r>
        <w:rPr>
          <w:rFonts w:ascii="Calibri" w:hAnsi="Calibri"/>
          <w:b/>
          <w:color w:val="002266"/>
          <w:sz w:val="28"/>
        </w:rPr>
        <w:t>10.1  Known Gap — NY AG Lawsuit (2024)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In 2024, New York Attorney General Letitia James sued Citibank for failing to: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Implement strong enough protections to stop AI-powered account takeovers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Flag suspicious signals: unrecognised devices, new login locations, bulk transfers consolidating funds before large outbound wires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Reimburse victims of electronic fraud, as required under applicable consumer protection laws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This demonstrates that even the most technologically advanced banks have material gaps in their fraud defences — specifically around detecting AI-generated or synthetic content submitted during client intake.</w:t>
      </w:r>
    </w:p>
    <w:p>
      <w:pPr>
        <w:spacing w:before="160" w:after="80"/>
      </w:pPr>
      <w:r>
        <w:rPr>
          <w:rFonts w:ascii="Calibri" w:hAnsi="Calibri"/>
          <w:b/>
          <w:color w:val="002266"/>
          <w:sz w:val="28"/>
        </w:rPr>
        <w:t>10.2  Strategic Integration Opportunity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Citi's own strategic priorities create a natural and immediate integration surface for an advanced synthetic media detection layer: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Google Cloud AI partnership provides scalable inference infrastructure for real-time ML model serving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Citi Stylus (document intelligence) is architecturally adjacent to document forensics — a detection layer can be inserted into the same pipeline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CitiDirect® portal's single document submission checklist is the optimal injection point for automated AI-content screening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OneKYC's centralised CitiKYC repository enables global deployment of detection models with consistent risk scoring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Existing SAR filing workflows can be extended to automatically tag FIN-2024-DEEPFAKEFRAUD cases surfaced by the detection system</w:t>
      </w:r>
    </w:p>
    <w:p>
      <w:pPr>
        <w:pBdr>
          <w:bottom w:val="single" w:sz="6" w:space="1" w:color="002266"/>
        </w:pBd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002266"/>
          <w:sz w:val="36"/>
        </w:rPr>
        <w:t>11.  Proposed Solution: AI-Powered Synthetic Media Detection in KYC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1"/>
        </w:rPr>
        <w:t>The solution is a multi-modal AI detection layer — TrustGuard — embedded directly into Citi's CitiDirect® KYC onboarding workflow, screening all submitted content before it reaches human reviewers.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Detection Modality</w:t>
            </w:r>
          </w:p>
        </w:tc>
        <w:tc>
          <w:tcPr>
            <w:tcW w:type="dxa" w:w="3135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It Catches</w:t>
            </w:r>
          </w:p>
        </w:tc>
        <w:tc>
          <w:tcPr>
            <w:tcW w:type="dxa" w:w="3135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KYC Application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Document Forensics (PDF/Image)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AI-generated IDs, utility bills, bank statements; pixel anomalies, metadata inconsistencies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Screens all uploaded identity and address documents at submission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Image / Selfie Analysis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Deepfake faces, AI-generated profile photos, GAN artefacts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Validates selfies and ID photos submitted during onboarding liveness checks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Audio Analysis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AI-cloned voice patterns, frequency anomalies, temporal artefacts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Screens voice recordings in call-centre and voice-KYC workflows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Text / Profile Analysis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LLM-generated personal histories, synthetic financial narratives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Flags AI-written customer profiles, business descriptions, and supporting narratives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Behavioural / Metadata Signals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Device fingerprint inconsistencies, geographic mismatches, session anomalies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Cross-references device and location data with submitted document claims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002266"/>
          <w:sz w:val="28"/>
        </w:rPr>
        <w:t>11.1  Architecture Overview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FastAPI microservice backend — lightweight, containerised (Docker), horizontally scalable on Google Cloud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REST API endpoints per modality: /detect/document, /detect/image, /detect/audio, /detect/text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Ensemble risk scorer combining outputs from all modalities into a single confidence score (0.0–1.0)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Integration via CitiDirect® API gateway — zero disruption to existing client-facing workflow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Explainable AI output: every flag includes the specific artefact or anomaly detected (audit-ready for regulators)</w:t>
      </w:r>
    </w:p>
    <w:p>
      <w:pPr>
        <w:pStyle w:val="ListBullet"/>
        <w:spacing w:after="40"/>
      </w:pPr>
      <w:r>
        <w:rPr>
          <w:rFonts w:ascii="Calibri" w:hAnsi="Calibri"/>
          <w:color w:val="333333"/>
          <w:sz w:val="21"/>
        </w:rPr>
        <w:t>Automatic SAR tagging pipeline for cases exceeding configurable risk thresholds</w:t>
      </w:r>
    </w:p>
    <w:p>
      <w:pPr>
        <w:spacing w:before="160" w:after="80"/>
      </w:pPr>
      <w:r>
        <w:rPr>
          <w:rFonts w:ascii="Calibri" w:hAnsi="Calibri"/>
          <w:b/>
          <w:color w:val="002266"/>
          <w:sz w:val="28"/>
        </w:rPr>
        <w:t>11.2  Build vs Buy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3135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Build (Custom)</w:t>
            </w:r>
          </w:p>
        </w:tc>
        <w:tc>
          <w:tcPr>
            <w:tcW w:type="dxa" w:w="3135"/>
            <w:shd w:val="clear" w:color="auto" w:fill="0022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Buy (Vendor)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Cost (Year 1)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Lower TCO at scale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High licensing fees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Data Privacy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All data stays on-prem/Citi Cloud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Data leaves Citi's perimeter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Customisation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Full control of models and thresholds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Limited to vendor roadmap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Regulatory Explainability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Full transparency into model decisions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Black-box risk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Integration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Native to CitiDirect® architecture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color w:val="333333"/>
                <w:sz w:val="19"/>
              </w:rPr>
              <w:t>Requires adapters and middleware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Recommendation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  <w:t>✓ BUILD on Google Cloud + open-source models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19"/>
              </w:rPr>
            </w:r>
          </w:p>
        </w:tc>
      </w:tr>
    </w:tbl>
    <w:p/>
    <w:p>
      <w:pPr>
        <w:pBdr>
          <w:bottom w:val="single" w:sz="6" w:space="1" w:color="002266"/>
        </w:pBd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002266"/>
          <w:sz w:val="36"/>
        </w:rPr>
        <w:t>Sources &amp; References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Citi Digital Onboarding: </w:t>
      </w:r>
      <w:r>
        <w:rPr>
          <w:rFonts w:ascii="Calibri" w:hAnsi="Calibri"/>
          <w:color w:val="0066CC"/>
          <w:sz w:val="18"/>
        </w:rPr>
        <w:t>https://www.citibank.com/tts/solutions/digital-channels-data/digital-onboarding/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Citi KYC — Digital Account Guide: </w:t>
      </w:r>
      <w:r>
        <w:rPr>
          <w:rFonts w:ascii="Calibri" w:hAnsi="Calibri"/>
          <w:color w:val="0066CC"/>
          <w:sz w:val="18"/>
        </w:rPr>
        <w:t>https://www.citibank.com/tts/sa/digital-account-guide/account-opening/know-your-customer.html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CitiDirect® Platform Enhancements 2025: </w:t>
      </w:r>
      <w:r>
        <w:rPr>
          <w:rFonts w:ascii="Calibri" w:hAnsi="Calibri"/>
          <w:color w:val="0066CC"/>
          <w:sz w:val="18"/>
        </w:rPr>
        <w:t>https://www.citigroup.com/global/news/press-release/2025/citi-global-roll-out-enhancements-citidirect-commercial-banking-platform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Citi Adopts Fenergo Platform (2025): </w:t>
      </w:r>
      <w:r>
        <w:rPr>
          <w:rFonts w:ascii="Calibri" w:hAnsi="Calibri"/>
          <w:color w:val="0066CC"/>
          <w:sz w:val="18"/>
        </w:rPr>
        <w:t>https://www.citigroup.com/global/news/press-release/2025/citi-adopts-fenergo-platform-to-digitize-select-transfer-agency-services-for-funds-in-europe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Citi &amp; Google Cloud Strategic Agreement: </w:t>
      </w:r>
      <w:r>
        <w:rPr>
          <w:rFonts w:ascii="Calibri" w:hAnsi="Calibri"/>
          <w:color w:val="0066CC"/>
          <w:sz w:val="18"/>
        </w:rPr>
        <w:t>https://www.citigroup.com/global/news/press-release/2024/citi-and-google-cloud-announce-strategic-agreement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Citi Gen AI Summit 2025 Takeaways: </w:t>
      </w:r>
      <w:r>
        <w:rPr>
          <w:rFonts w:ascii="Calibri" w:hAnsi="Calibri"/>
          <w:color w:val="0066CC"/>
          <w:sz w:val="18"/>
        </w:rPr>
        <w:t>https://www.citi.com/ventures/perspectives/pressrelease/evolution-of-gen-ai-at-citi.html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FinCEN FIN-2024-DEEPFAKEFRAUD Alert: </w:t>
      </w:r>
      <w:r>
        <w:rPr>
          <w:rFonts w:ascii="Calibri" w:hAnsi="Calibri"/>
          <w:color w:val="0066CC"/>
          <w:sz w:val="18"/>
        </w:rPr>
        <w:t>https://www.fincen.gov/news/news-releases/fincen-issues-alert-fraud-schemes-involving-deepfake-media-targeting-financial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McKinsey: Agentic AI in Banking KYC/AML: </w:t>
      </w:r>
      <w:r>
        <w:rPr>
          <w:rFonts w:ascii="Calibri" w:hAnsi="Calibri"/>
          <w:color w:val="0066CC"/>
          <w:sz w:val="18"/>
        </w:rPr>
        <w:t>https://www.mckinsey.com/capabilities/risk-and-resilience/our-insights/how-agentic-ai-can-change-the-way-banks-fight-financial-crime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Veriff: Deepfakes in Financial Services: </w:t>
      </w:r>
      <w:r>
        <w:rPr>
          <w:rFonts w:ascii="Calibri" w:hAnsi="Calibri"/>
          <w:color w:val="0066CC"/>
          <w:sz w:val="18"/>
        </w:rPr>
        <w:t>https://www.veriff.com/identity-verification/the-growing-threat-of-deepfakes-in-financial-services-and-why-a-trust-infrastructure-is-the-future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DuckDuckGoose: $193M Deepfake Question: </w:t>
      </w:r>
      <w:r>
        <w:rPr>
          <w:rFonts w:ascii="Calibri" w:hAnsi="Calibri"/>
          <w:color w:val="0066CC"/>
          <w:sz w:val="18"/>
        </w:rPr>
        <w:t>https://www.duckduckgoose.ai/blog/deepfakes-in-financial-services-2025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Themis: Banks Fear Deepfake Spikes 2025: </w:t>
      </w:r>
      <w:r>
        <w:rPr>
          <w:rFonts w:ascii="Calibri" w:hAnsi="Calibri"/>
          <w:color w:val="0066CC"/>
          <w:sz w:val="18"/>
        </w:rPr>
        <w:t>https://www.bottomline.com/resources/blog/themis-study-banks-fear-deepfake-and-synthetic-identity-spikes-2025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BankInfoSecurity: AI Tools &amp; Synthetic IDs: </w:t>
      </w:r>
      <w:r>
        <w:rPr>
          <w:rFonts w:ascii="Calibri" w:hAnsi="Calibri"/>
          <w:color w:val="0066CC"/>
          <w:sz w:val="18"/>
        </w:rPr>
        <w:t>https://www.bankinfosecurity.com/ai-tools-synthetic-ids-are-fracturing-kyc-programs-a-30401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NY AG Sues Citibank (2024): </w:t>
      </w:r>
      <w:r>
        <w:rPr>
          <w:rFonts w:ascii="Calibri" w:hAnsi="Calibri"/>
          <w:color w:val="0066CC"/>
          <w:sz w:val="18"/>
        </w:rPr>
        <w:t>https://ag.ny.gov/press-release/2024/attorney-general-james-sues-citibank-failing-protect-and-reimburse-victims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Citi AML Programme: </w:t>
      </w:r>
      <w:r>
        <w:rPr>
          <w:rFonts w:ascii="Calibri" w:hAnsi="Calibri"/>
          <w:color w:val="0066CC"/>
          <w:sz w:val="18"/>
        </w:rPr>
        <w:t>https://www.citigroup.com/global/investors/corporate-governance/anti-money-laundering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Regula Survey: Deepfake Impact on IDV: </w:t>
      </w:r>
      <w:r>
        <w:rPr>
          <w:rFonts w:ascii="Calibri" w:hAnsi="Calibri"/>
          <w:color w:val="0066CC"/>
          <w:sz w:val="18"/>
        </w:rPr>
        <w:t>https://regulaforensics.com/blog/impact-of-deepfakes-on-idv-regula-survey/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SilentEight: JPMorgan, Citi, Wells Fargo AI AML: </w:t>
      </w:r>
      <w:r>
        <w:rPr>
          <w:rFonts w:ascii="Calibri" w:hAnsi="Calibri"/>
          <w:color w:val="0066CC"/>
          <w:sz w:val="18"/>
        </w:rPr>
        <w:t>https://www.silenteight.com/blog/jpmorgan-citi-and-wells-fargo-are-transforming-aml-thanks-to-ai-tools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