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BB4E9E">
      <w:pPr>
        <w:spacing w:after="100"/>
        <w:jc w:val="both"/>
      </w:pPr>
      <w:bookmarkStart w:id="1" w:name="_GoBack"/>
      <w:bookmarkEnd w:id="1"/>
    </w:p>
    <w:p w14:paraId="6327DE1E">
      <w:pPr>
        <w:spacing w:before="120" w:after="120" w:line="238" w:lineRule="auto"/>
        <w:jc w:val="both"/>
        <w:rPr>
          <w:rFonts w:ascii="Times New Roman" w:hAnsi="Times New Roman" w:eastAsia="Times New Roman" w:cs="Times New Roman"/>
          <w:sz w:val="24"/>
          <w:szCs w:val="24"/>
        </w:rPr>
      </w:pPr>
      <w:r>
        <w:drawing>
          <wp:anchor distT="0" distB="0" distL="0" distR="0" simplePos="0" relativeHeight="251659264" behindDoc="1" locked="0" layoutInCell="1" allowOverlap="1">
            <wp:simplePos x="0" y="0"/>
            <wp:positionH relativeFrom="column">
              <wp:posOffset>-43815</wp:posOffset>
            </wp:positionH>
            <wp:positionV relativeFrom="paragraph">
              <wp:posOffset>38735</wp:posOffset>
            </wp:positionV>
            <wp:extent cx="5871845" cy="101600"/>
            <wp:effectExtent l="0" t="0" r="10795" b="5080"/>
            <wp:wrapNone/>
            <wp:docPr id="10" name="image2.jpg"/>
            <wp:cNvGraphicFramePr/>
            <a:graphic xmlns:a="http://schemas.openxmlformats.org/drawingml/2006/main">
              <a:graphicData uri="http://schemas.openxmlformats.org/drawingml/2006/picture">
                <pic:pic xmlns:pic="http://schemas.openxmlformats.org/drawingml/2006/picture">
                  <pic:nvPicPr>
                    <pic:cNvPr id="10" name="image2.jpg"/>
                    <pic:cNvPicPr preferRelativeResize="0"/>
                  </pic:nvPicPr>
                  <pic:blipFill>
                    <a:blip r:embed="rId4"/>
                    <a:srcRect/>
                    <a:stretch>
                      <a:fillRect/>
                    </a:stretch>
                  </pic:blipFill>
                  <pic:spPr>
                    <a:xfrm>
                      <a:off x="0" y="0"/>
                      <a:ext cx="5871845" cy="101600"/>
                    </a:xfrm>
                    <a:prstGeom prst="rect">
                      <a:avLst/>
                    </a:prstGeom>
                  </pic:spPr>
                </pic:pic>
              </a:graphicData>
            </a:graphic>
          </wp:anchor>
        </w:drawing>
      </w:r>
    </w:p>
    <w:p w14:paraId="0B812135">
      <w:pPr>
        <w:spacing w:before="120" w:after="120" w:line="288" w:lineRule="auto"/>
        <w:jc w:val="center"/>
        <w:rPr>
          <w:rFonts w:ascii="Bookman Old Style" w:hAnsi="Bookman Old Style" w:eastAsia="Bookman Old Style" w:cs="Bookman Old Style"/>
          <w:b/>
          <w:sz w:val="32"/>
          <w:szCs w:val="32"/>
        </w:rPr>
      </w:pPr>
      <w:r>
        <w:drawing>
          <wp:anchor distT="0" distB="0" distL="0" distR="0" simplePos="0" relativeHeight="251660288" behindDoc="1" locked="0" layoutInCell="1" allowOverlap="1">
            <wp:simplePos x="0" y="0"/>
            <wp:positionH relativeFrom="column">
              <wp:posOffset>-36195</wp:posOffset>
            </wp:positionH>
            <wp:positionV relativeFrom="paragraph">
              <wp:posOffset>328295</wp:posOffset>
            </wp:positionV>
            <wp:extent cx="5871845" cy="101600"/>
            <wp:effectExtent l="0" t="0" r="10795" b="5080"/>
            <wp:wrapNone/>
            <wp:docPr id="11" name="image2.jpg"/>
            <wp:cNvGraphicFramePr/>
            <a:graphic xmlns:a="http://schemas.openxmlformats.org/drawingml/2006/main">
              <a:graphicData uri="http://schemas.openxmlformats.org/drawingml/2006/picture">
                <pic:pic xmlns:pic="http://schemas.openxmlformats.org/drawingml/2006/picture">
                  <pic:nvPicPr>
                    <pic:cNvPr id="11" name="image2.jpg"/>
                    <pic:cNvPicPr preferRelativeResize="0"/>
                  </pic:nvPicPr>
                  <pic:blipFill>
                    <a:blip r:embed="rId4"/>
                    <a:srcRect/>
                    <a:stretch>
                      <a:fillRect/>
                    </a:stretch>
                  </pic:blipFill>
                  <pic:spPr>
                    <a:xfrm>
                      <a:off x="0" y="0"/>
                      <a:ext cx="5871845" cy="101600"/>
                    </a:xfrm>
                    <a:prstGeom prst="rect">
                      <a:avLst/>
                    </a:prstGeom>
                  </pic:spPr>
                </pic:pic>
              </a:graphicData>
            </a:graphic>
          </wp:anchor>
        </w:drawing>
      </w:r>
      <w:r>
        <w:rPr>
          <w:rFonts w:ascii="Bookman Old Style" w:hAnsi="Bookman Old Style" w:eastAsia="Bookman Old Style" w:cs="Bookman Old Style"/>
          <w:b/>
          <w:sz w:val="32"/>
          <w:szCs w:val="32"/>
        </w:rPr>
        <w:t>Institutional Energy Usage Prediction</w:t>
      </w:r>
    </w:p>
    <w:p w14:paraId="76A752B2">
      <w:pPr>
        <w:spacing w:after="100"/>
        <w:jc w:val="both"/>
      </w:pPr>
    </w:p>
    <w:p w14:paraId="02852061">
      <w:pPr>
        <w:spacing w:after="100"/>
        <w:jc w:val="both"/>
      </w:pPr>
    </w:p>
    <w:p w14:paraId="02A08DAF">
      <w:pPr>
        <w:spacing w:after="200"/>
        <w:jc w:val="center"/>
        <w:rPr>
          <w:rFonts w:hint="default" w:ascii="Times New Roman" w:hAnsi="Times New Roman" w:eastAsia="Arial" w:cs="Times New Roman"/>
          <w:b/>
          <w:bCs/>
          <w:color w:val="555555"/>
          <w:sz w:val="28"/>
          <w:szCs w:val="28"/>
          <w:lang w:val="en-US"/>
        </w:rPr>
      </w:pPr>
      <w:r>
        <w:rPr>
          <w:rFonts w:hint="default" w:ascii="Times New Roman" w:hAnsi="Times New Roman" w:cs="Times New Roman"/>
          <w:b/>
          <w:bCs/>
          <w:color w:val="555555"/>
          <w:sz w:val="28"/>
          <w:szCs w:val="28"/>
          <w:shd w:val="clear" w:color="auto" w:fill="auto"/>
          <w:lang w:val="en-US"/>
        </w:rPr>
        <w:t>PROJECT ID : AIML - 23</w:t>
      </w:r>
    </w:p>
    <w:p w14:paraId="71658142">
      <w:pPr>
        <w:spacing w:after="200"/>
        <w:jc w:val="center"/>
        <w:rPr>
          <w:rFonts w:hint="default" w:ascii="Times New Roman" w:hAnsi="Times New Roman" w:cs="Times New Roman"/>
          <w:b/>
          <w:bCs/>
          <w:color w:val="555555"/>
          <w:sz w:val="28"/>
          <w:szCs w:val="28"/>
          <w:lang w:val="en-US"/>
        </w:rPr>
      </w:pPr>
    </w:p>
    <w:p w14:paraId="60EC967F">
      <w:pPr>
        <w:spacing w:after="80"/>
        <w:jc w:val="center"/>
      </w:pPr>
      <w:r>
        <w:rPr>
          <w:rFonts w:hint="default" w:cs="Arial"/>
          <w:b/>
          <w:bCs/>
          <w:sz w:val="24"/>
          <w:szCs w:val="24"/>
          <w:lang w:val="en-US"/>
        </w:rPr>
        <w:t>Name : SARTHAK PANWAR</w:t>
      </w:r>
      <w:r>
        <w:rPr>
          <w:rFonts w:ascii="Arial" w:hAnsi="Arial" w:eastAsia="Arial" w:cs="Arial"/>
          <w:b/>
          <w:bCs/>
          <w:sz w:val="24"/>
          <w:szCs w:val="24"/>
        </w:rPr>
        <w:t>(Team Leader)</w:t>
      </w:r>
    </w:p>
    <w:p w14:paraId="07525658">
      <w:pPr>
        <w:spacing w:after="60"/>
        <w:jc w:val="center"/>
        <w:rPr>
          <w:rFonts w:hint="default"/>
          <w:lang w:val="en-US"/>
        </w:rPr>
      </w:pPr>
      <w:r>
        <w:rPr>
          <w:rFonts w:ascii="Arial" w:hAnsi="Arial" w:eastAsia="Arial" w:cs="Arial"/>
          <w:sz w:val="22"/>
          <w:szCs w:val="22"/>
        </w:rPr>
        <w:t>Class Roll Number</w:t>
      </w:r>
      <w:r>
        <w:rPr>
          <w:rFonts w:hint="default" w:cs="Arial"/>
          <w:sz w:val="22"/>
          <w:szCs w:val="22"/>
          <w:lang w:val="en-US"/>
        </w:rPr>
        <w:t xml:space="preserve"> </w:t>
      </w:r>
      <w:r>
        <w:rPr>
          <w:rFonts w:ascii="Arial" w:hAnsi="Arial" w:eastAsia="Arial" w:cs="Arial"/>
          <w:sz w:val="22"/>
          <w:szCs w:val="22"/>
        </w:rPr>
        <w:t>:</w:t>
      </w:r>
      <w:r>
        <w:rPr>
          <w:rFonts w:hint="default" w:cs="Arial"/>
          <w:sz w:val="22"/>
          <w:szCs w:val="22"/>
          <w:lang w:val="en-US"/>
        </w:rPr>
        <w:t xml:space="preserve"> 59</w:t>
      </w:r>
    </w:p>
    <w:p w14:paraId="620D2F1D">
      <w:pPr>
        <w:spacing w:after="60"/>
        <w:jc w:val="center"/>
        <w:rPr>
          <w:rFonts w:hint="default"/>
          <w:lang w:val="en-US"/>
        </w:rPr>
      </w:pPr>
      <w:r>
        <w:rPr>
          <w:rFonts w:ascii="Arial" w:hAnsi="Arial" w:eastAsia="Arial" w:cs="Arial"/>
          <w:sz w:val="22"/>
          <w:szCs w:val="22"/>
        </w:rPr>
        <w:t>University Roll Number</w:t>
      </w:r>
      <w:r>
        <w:rPr>
          <w:rFonts w:hint="default" w:cs="Arial"/>
          <w:sz w:val="22"/>
          <w:szCs w:val="22"/>
          <w:lang w:val="en-US"/>
        </w:rPr>
        <w:t xml:space="preserve"> </w:t>
      </w:r>
      <w:r>
        <w:rPr>
          <w:rFonts w:ascii="Arial" w:hAnsi="Arial" w:eastAsia="Arial" w:cs="Arial"/>
          <w:sz w:val="22"/>
          <w:szCs w:val="22"/>
        </w:rPr>
        <w:t>:</w:t>
      </w:r>
      <w:r>
        <w:rPr>
          <w:rFonts w:hint="default" w:cs="Arial"/>
          <w:sz w:val="22"/>
          <w:szCs w:val="22"/>
          <w:lang w:val="en-US"/>
        </w:rPr>
        <w:t xml:space="preserve"> 2028841</w:t>
      </w:r>
    </w:p>
    <w:p w14:paraId="35825A9E">
      <w:pPr>
        <w:spacing w:after="120"/>
        <w:jc w:val="center"/>
        <w:rPr>
          <w:rFonts w:hint="default" w:cs="Arial"/>
          <w:sz w:val="22"/>
          <w:szCs w:val="22"/>
          <w:lang w:val="en-US"/>
        </w:rPr>
      </w:pPr>
      <w:r>
        <w:rPr>
          <w:rFonts w:ascii="Arial" w:hAnsi="Arial" w:eastAsia="Arial" w:cs="Arial"/>
          <w:sz w:val="22"/>
          <w:szCs w:val="22"/>
        </w:rPr>
        <w:t>Section and Group</w:t>
      </w:r>
      <w:r>
        <w:rPr>
          <w:rFonts w:hint="default" w:cs="Arial"/>
          <w:sz w:val="22"/>
          <w:szCs w:val="22"/>
          <w:lang w:val="en-US"/>
        </w:rPr>
        <w:t xml:space="preserve"> </w:t>
      </w:r>
      <w:r>
        <w:rPr>
          <w:rFonts w:ascii="Arial" w:hAnsi="Arial" w:eastAsia="Arial" w:cs="Arial"/>
          <w:sz w:val="22"/>
          <w:szCs w:val="22"/>
        </w:rPr>
        <w:t>:</w:t>
      </w:r>
      <w:r>
        <w:rPr>
          <w:rFonts w:hint="default" w:cs="Arial"/>
          <w:sz w:val="22"/>
          <w:szCs w:val="22"/>
          <w:lang w:val="en-US"/>
        </w:rPr>
        <w:t xml:space="preserve"> U G2</w:t>
      </w:r>
    </w:p>
    <w:p w14:paraId="08B2E84A">
      <w:pPr>
        <w:spacing w:after="120"/>
        <w:jc w:val="center"/>
        <w:rPr>
          <w:rFonts w:hint="default" w:cs="Arial"/>
          <w:sz w:val="22"/>
          <w:szCs w:val="22"/>
          <w:lang w:val="en-US"/>
        </w:rPr>
      </w:pPr>
    </w:p>
    <w:p w14:paraId="3EC7D882">
      <w:pPr>
        <w:spacing w:after="80"/>
        <w:jc w:val="center"/>
        <w:rPr>
          <w:rFonts w:hint="default"/>
          <w:lang w:val="en-US"/>
        </w:rPr>
      </w:pPr>
      <w:r>
        <w:rPr>
          <w:rFonts w:ascii="Arial" w:hAnsi="Arial" w:eastAsia="Arial" w:cs="Arial"/>
          <w:b/>
          <w:bCs/>
          <w:sz w:val="24"/>
          <w:szCs w:val="24"/>
        </w:rPr>
        <w:t xml:space="preserve">Name: </w:t>
      </w:r>
      <w:r>
        <w:rPr>
          <w:rFonts w:hint="default" w:cs="Arial"/>
          <w:b/>
          <w:bCs/>
          <w:sz w:val="24"/>
          <w:szCs w:val="24"/>
          <w:lang w:val="en-US"/>
        </w:rPr>
        <w:t>JATIN BOHRA</w:t>
      </w:r>
    </w:p>
    <w:p w14:paraId="52EF9813">
      <w:pPr>
        <w:spacing w:after="60"/>
        <w:jc w:val="center"/>
        <w:rPr>
          <w:rFonts w:hint="default"/>
          <w:lang w:val="en-US"/>
        </w:rPr>
      </w:pPr>
      <w:r>
        <w:rPr>
          <w:rFonts w:ascii="Arial" w:hAnsi="Arial" w:eastAsia="Arial" w:cs="Arial"/>
          <w:sz w:val="22"/>
          <w:szCs w:val="22"/>
        </w:rPr>
        <w:t>Class Roll Number</w:t>
      </w:r>
      <w:r>
        <w:rPr>
          <w:rFonts w:hint="default" w:cs="Arial"/>
          <w:sz w:val="22"/>
          <w:szCs w:val="22"/>
          <w:lang w:val="en-US"/>
        </w:rPr>
        <w:t xml:space="preserve"> </w:t>
      </w:r>
      <w:r>
        <w:rPr>
          <w:rFonts w:ascii="Arial" w:hAnsi="Arial" w:eastAsia="Arial" w:cs="Arial"/>
          <w:sz w:val="22"/>
          <w:szCs w:val="22"/>
        </w:rPr>
        <w:t>:</w:t>
      </w:r>
      <w:r>
        <w:rPr>
          <w:rFonts w:hint="default" w:cs="Arial"/>
          <w:sz w:val="22"/>
          <w:szCs w:val="22"/>
          <w:lang w:val="en-US"/>
        </w:rPr>
        <w:t xml:space="preserve"> 42</w:t>
      </w:r>
    </w:p>
    <w:p w14:paraId="6F4DDA8D">
      <w:pPr>
        <w:spacing w:after="60"/>
        <w:jc w:val="center"/>
        <w:rPr>
          <w:rFonts w:hint="default"/>
          <w:lang w:val="en-US"/>
        </w:rPr>
      </w:pPr>
      <w:r>
        <w:rPr>
          <w:rFonts w:ascii="Arial" w:hAnsi="Arial" w:eastAsia="Arial" w:cs="Arial"/>
          <w:sz w:val="22"/>
          <w:szCs w:val="22"/>
        </w:rPr>
        <w:t>University Roll Number</w:t>
      </w:r>
      <w:r>
        <w:rPr>
          <w:rFonts w:hint="default" w:cs="Arial"/>
          <w:sz w:val="22"/>
          <w:szCs w:val="22"/>
          <w:lang w:val="en-US"/>
        </w:rPr>
        <w:t xml:space="preserve"> </w:t>
      </w:r>
      <w:r>
        <w:rPr>
          <w:rFonts w:ascii="Arial" w:hAnsi="Arial" w:eastAsia="Arial" w:cs="Arial"/>
          <w:sz w:val="22"/>
          <w:szCs w:val="22"/>
        </w:rPr>
        <w:t>:</w:t>
      </w:r>
      <w:r>
        <w:rPr>
          <w:rFonts w:hint="default" w:cs="Arial"/>
          <w:sz w:val="22"/>
          <w:szCs w:val="22"/>
          <w:lang w:val="en-US"/>
        </w:rPr>
        <w:t xml:space="preserve"> 2028733</w:t>
      </w:r>
    </w:p>
    <w:p w14:paraId="62EDF5D2">
      <w:pPr>
        <w:spacing w:after="120"/>
        <w:jc w:val="center"/>
        <w:rPr>
          <w:rFonts w:hint="default" w:cs="Arial"/>
          <w:sz w:val="22"/>
          <w:szCs w:val="22"/>
          <w:lang w:val="en-US"/>
        </w:rPr>
      </w:pPr>
      <w:r>
        <w:rPr>
          <w:rFonts w:ascii="Arial" w:hAnsi="Arial" w:eastAsia="Arial" w:cs="Arial"/>
          <w:sz w:val="22"/>
          <w:szCs w:val="22"/>
        </w:rPr>
        <w:t>Section and Group</w:t>
      </w:r>
      <w:r>
        <w:rPr>
          <w:rFonts w:hint="default" w:cs="Arial"/>
          <w:sz w:val="22"/>
          <w:szCs w:val="22"/>
          <w:lang w:val="en-US"/>
        </w:rPr>
        <w:t xml:space="preserve"> </w:t>
      </w:r>
      <w:r>
        <w:rPr>
          <w:rFonts w:ascii="Arial" w:hAnsi="Arial" w:eastAsia="Arial" w:cs="Arial"/>
          <w:sz w:val="22"/>
          <w:szCs w:val="22"/>
        </w:rPr>
        <w:t>:</w:t>
      </w:r>
      <w:r>
        <w:rPr>
          <w:rFonts w:hint="default" w:cs="Arial"/>
          <w:sz w:val="22"/>
          <w:szCs w:val="22"/>
          <w:lang w:val="en-US"/>
        </w:rPr>
        <w:t xml:space="preserve"> U G2</w:t>
      </w:r>
    </w:p>
    <w:p w14:paraId="077D4BD2">
      <w:pPr>
        <w:spacing w:after="120"/>
        <w:jc w:val="center"/>
        <w:rPr>
          <w:rFonts w:hint="default"/>
          <w:lang w:val="en-US"/>
        </w:rPr>
      </w:pPr>
    </w:p>
    <w:p w14:paraId="3D94E625">
      <w:pPr>
        <w:spacing w:after="80"/>
        <w:jc w:val="center"/>
        <w:rPr>
          <w:rFonts w:hint="default"/>
          <w:lang w:val="en-US"/>
        </w:rPr>
      </w:pPr>
      <w:r>
        <w:rPr>
          <w:rFonts w:ascii="Arial" w:hAnsi="Arial" w:eastAsia="Arial" w:cs="Arial"/>
          <w:b/>
          <w:bCs/>
          <w:sz w:val="24"/>
          <w:szCs w:val="24"/>
        </w:rPr>
        <w:t xml:space="preserve">Name: </w:t>
      </w:r>
      <w:r>
        <w:rPr>
          <w:rFonts w:hint="default" w:cs="Arial"/>
          <w:b/>
          <w:bCs/>
          <w:sz w:val="24"/>
          <w:szCs w:val="24"/>
          <w:lang w:val="en-US"/>
        </w:rPr>
        <w:t>DEVANSHU NEGI</w:t>
      </w:r>
    </w:p>
    <w:p w14:paraId="31EDECFA">
      <w:pPr>
        <w:spacing w:after="60"/>
        <w:jc w:val="center"/>
        <w:rPr>
          <w:rFonts w:hint="default"/>
          <w:lang w:val="en-US"/>
        </w:rPr>
      </w:pPr>
      <w:r>
        <w:rPr>
          <w:rFonts w:ascii="Arial" w:hAnsi="Arial" w:eastAsia="Arial" w:cs="Arial"/>
          <w:sz w:val="22"/>
          <w:szCs w:val="22"/>
        </w:rPr>
        <w:t>Class Roll Number</w:t>
      </w:r>
      <w:r>
        <w:rPr>
          <w:rFonts w:hint="default" w:cs="Arial"/>
          <w:sz w:val="22"/>
          <w:szCs w:val="22"/>
          <w:lang w:val="en-US"/>
        </w:rPr>
        <w:t xml:space="preserve"> </w:t>
      </w:r>
      <w:r>
        <w:rPr>
          <w:rFonts w:ascii="Arial" w:hAnsi="Arial" w:eastAsia="Arial" w:cs="Arial"/>
          <w:sz w:val="22"/>
          <w:szCs w:val="22"/>
        </w:rPr>
        <w:t>:</w:t>
      </w:r>
      <w:r>
        <w:rPr>
          <w:rFonts w:hint="default" w:cs="Arial"/>
          <w:sz w:val="22"/>
          <w:szCs w:val="22"/>
          <w:lang w:val="en-US"/>
        </w:rPr>
        <w:t xml:space="preserve"> 37</w:t>
      </w:r>
    </w:p>
    <w:p w14:paraId="7C584F44">
      <w:pPr>
        <w:spacing w:after="60"/>
        <w:jc w:val="center"/>
        <w:rPr>
          <w:rFonts w:hint="default"/>
          <w:lang w:val="en-US"/>
        </w:rPr>
      </w:pPr>
      <w:r>
        <w:rPr>
          <w:rFonts w:ascii="Arial" w:hAnsi="Arial" w:eastAsia="Arial" w:cs="Arial"/>
          <w:sz w:val="22"/>
          <w:szCs w:val="22"/>
        </w:rPr>
        <w:t>University Roll Number</w:t>
      </w:r>
      <w:r>
        <w:rPr>
          <w:rFonts w:hint="default" w:cs="Arial"/>
          <w:sz w:val="22"/>
          <w:szCs w:val="22"/>
          <w:lang w:val="en-US"/>
        </w:rPr>
        <w:t xml:space="preserve"> </w:t>
      </w:r>
      <w:r>
        <w:rPr>
          <w:rFonts w:ascii="Arial" w:hAnsi="Arial" w:eastAsia="Arial" w:cs="Arial"/>
          <w:sz w:val="22"/>
          <w:szCs w:val="22"/>
        </w:rPr>
        <w:t>:</w:t>
      </w:r>
      <w:r>
        <w:rPr>
          <w:rFonts w:hint="default" w:cs="Arial"/>
          <w:sz w:val="22"/>
          <w:szCs w:val="22"/>
          <w:lang w:val="en-US"/>
        </w:rPr>
        <w:t xml:space="preserve"> 2028704</w:t>
      </w:r>
    </w:p>
    <w:p w14:paraId="183A84E2">
      <w:pPr>
        <w:jc w:val="center"/>
      </w:pPr>
      <w:r>
        <w:rPr>
          <w:rFonts w:ascii="Arial" w:hAnsi="Arial" w:eastAsia="Arial" w:cs="Arial"/>
          <w:sz w:val="22"/>
          <w:szCs w:val="22"/>
        </w:rPr>
        <w:t>Section and Group</w:t>
      </w:r>
      <w:r>
        <w:rPr>
          <w:rFonts w:hint="default" w:cs="Arial"/>
          <w:sz w:val="22"/>
          <w:szCs w:val="22"/>
          <w:lang w:val="en-US"/>
        </w:rPr>
        <w:t xml:space="preserve"> </w:t>
      </w:r>
      <w:r>
        <w:rPr>
          <w:rFonts w:ascii="Arial" w:hAnsi="Arial" w:eastAsia="Arial" w:cs="Arial"/>
          <w:sz w:val="22"/>
          <w:szCs w:val="22"/>
        </w:rPr>
        <w:t>:</w:t>
      </w:r>
      <w:r>
        <w:rPr>
          <w:rFonts w:hint="default" w:cs="Arial"/>
          <w:sz w:val="22"/>
          <w:szCs w:val="22"/>
          <w:lang w:val="en-US"/>
        </w:rPr>
        <w:t xml:space="preserve"> U G2</w:t>
      </w:r>
    </w:p>
    <w:p w14:paraId="6E43CD98">
      <w:pPr>
        <w:spacing w:after="240"/>
        <w:jc w:val="both"/>
        <w:rPr>
          <w:rFonts w:ascii="Arial" w:hAnsi="Arial" w:eastAsia="Arial" w:cs="Arial"/>
          <w:b/>
          <w:bCs/>
          <w:color w:val="1F4E79"/>
          <w:sz w:val="32"/>
          <w:szCs w:val="32"/>
        </w:rPr>
      </w:pPr>
    </w:p>
    <w:p w14:paraId="1119ECD7">
      <w:pPr>
        <w:spacing w:after="240"/>
        <w:jc w:val="both"/>
        <w:rPr>
          <w:rFonts w:ascii="Arial" w:hAnsi="Arial" w:eastAsia="Arial" w:cs="Arial"/>
          <w:b/>
          <w:bCs/>
          <w:color w:val="1F4E79"/>
          <w:sz w:val="32"/>
          <w:szCs w:val="32"/>
        </w:rPr>
      </w:pPr>
    </w:p>
    <w:p w14:paraId="3F3359C0">
      <w:pPr>
        <w:spacing w:after="240"/>
        <w:jc w:val="both"/>
        <w:rPr>
          <w:rFonts w:ascii="Arial" w:hAnsi="Arial" w:eastAsia="Arial" w:cs="Arial"/>
          <w:b/>
          <w:bCs/>
          <w:color w:val="1F4E79"/>
          <w:sz w:val="32"/>
          <w:szCs w:val="32"/>
        </w:rPr>
      </w:pPr>
    </w:p>
    <w:p w14:paraId="24B129DA">
      <w:pPr>
        <w:spacing w:after="240"/>
        <w:jc w:val="both"/>
        <w:rPr>
          <w:rFonts w:ascii="Arial" w:hAnsi="Arial" w:eastAsia="Arial" w:cs="Arial"/>
          <w:b/>
          <w:bCs/>
          <w:color w:val="1F4E79"/>
          <w:sz w:val="32"/>
          <w:szCs w:val="32"/>
        </w:rPr>
      </w:pPr>
    </w:p>
    <w:p w14:paraId="485069D7">
      <w:pPr>
        <w:spacing w:after="240"/>
        <w:jc w:val="both"/>
        <w:rPr>
          <w:rFonts w:ascii="Arial" w:hAnsi="Arial" w:eastAsia="Arial" w:cs="Arial"/>
          <w:b/>
          <w:bCs/>
          <w:color w:val="1F4E79"/>
          <w:sz w:val="32"/>
          <w:szCs w:val="32"/>
        </w:rPr>
      </w:pPr>
    </w:p>
    <w:p w14:paraId="00F3C7D1">
      <w:pPr>
        <w:spacing w:after="240"/>
        <w:jc w:val="both"/>
        <w:rPr>
          <w:rFonts w:ascii="Arial" w:hAnsi="Arial" w:eastAsia="Arial" w:cs="Arial"/>
          <w:b/>
          <w:bCs/>
          <w:color w:val="1F4E79"/>
          <w:sz w:val="32"/>
          <w:szCs w:val="32"/>
        </w:rPr>
      </w:pPr>
    </w:p>
    <w:p w14:paraId="6EB68B40">
      <w:pPr>
        <w:spacing w:after="240"/>
        <w:jc w:val="both"/>
        <w:rPr>
          <w:rFonts w:ascii="Arial" w:hAnsi="Arial" w:eastAsia="Arial" w:cs="Arial"/>
          <w:b/>
          <w:bCs/>
          <w:color w:val="1F4E79"/>
          <w:sz w:val="32"/>
          <w:szCs w:val="32"/>
        </w:rPr>
      </w:pPr>
    </w:p>
    <w:p w14:paraId="10BA2081">
      <w:pPr>
        <w:spacing w:after="240"/>
        <w:jc w:val="both"/>
        <w:rPr>
          <w:rFonts w:ascii="Arial" w:hAnsi="Arial" w:eastAsia="Arial" w:cs="Arial"/>
          <w:b/>
          <w:bCs/>
          <w:color w:val="1F4E79"/>
          <w:sz w:val="32"/>
          <w:szCs w:val="32"/>
        </w:rPr>
      </w:pPr>
    </w:p>
    <w:p w14:paraId="60668A34">
      <w:pPr>
        <w:spacing w:after="240"/>
        <w:jc w:val="center"/>
        <w:rPr>
          <w:rFonts w:ascii="Arial" w:hAnsi="Arial" w:eastAsia="Arial" w:cs="Arial"/>
          <w:b/>
          <w:bCs/>
          <w:color w:val="1F4E79"/>
          <w:sz w:val="32"/>
          <w:szCs w:val="32"/>
        </w:rPr>
      </w:pPr>
      <w:r>
        <w:rPr>
          <w:rFonts w:ascii="Arial" w:hAnsi="Arial" w:eastAsia="Arial" w:cs="Arial"/>
          <w:b/>
          <w:bCs/>
          <w:color w:val="1F4E79"/>
          <w:sz w:val="32"/>
          <w:szCs w:val="32"/>
        </w:rPr>
        <w:t>Table of Contents</w:t>
      </w:r>
    </w:p>
    <w:p w14:paraId="676E3670">
      <w:pPr>
        <w:spacing w:after="240"/>
        <w:jc w:val="both"/>
        <w:rPr>
          <w:rFonts w:ascii="Arial" w:hAnsi="Arial" w:eastAsia="Arial" w:cs="Arial"/>
          <w:b/>
          <w:bCs/>
          <w:color w:val="1F4E79"/>
          <w:sz w:val="32"/>
          <w:szCs w:val="32"/>
        </w:rPr>
      </w:pPr>
    </w:p>
    <w:p w14:paraId="0BD87F9E">
      <w:pPr>
        <w:spacing w:after="240"/>
        <w:jc w:val="both"/>
        <w:rPr>
          <w:rFonts w:ascii="Arial" w:hAnsi="Arial" w:eastAsia="Arial" w:cs="Arial"/>
          <w:b/>
          <w:bCs/>
          <w:color w:val="1F4E79"/>
          <w:sz w:val="32"/>
          <w:szCs w:val="32"/>
        </w:rPr>
      </w:pPr>
    </w:p>
    <w:sdt>
      <w:sdtPr>
        <w:alias w:val="Table of Contents"/>
        <w:id w:val="147466011"/>
      </w:sdtPr>
      <w:sdtContent>
        <w:p w14:paraId="351017F7">
          <w:pPr>
            <w:jc w:val="both"/>
          </w:pPr>
          <w:r>
            <w:fldChar w:fldCharType="begin"/>
          </w:r>
          <w:r>
            <w:instrText xml:space="preserve">TOC \h \o "1-2"</w:instrText>
          </w:r>
          <w:r>
            <w:fldChar w:fldCharType="separate"/>
          </w:r>
        </w:p>
        <w:p w14:paraId="27EF106E">
          <w:pPr>
            <w:pStyle w:val="18"/>
            <w:numPr>
              <w:ilvl w:val="0"/>
              <w:numId w:val="1"/>
            </w:numPr>
            <w:tabs>
              <w:tab w:val="left" w:pos="1027"/>
              <w:tab w:val="right" w:leader="dot" w:pos="9044"/>
            </w:tabs>
            <w:spacing w:after="240"/>
            <w:jc w:val="both"/>
            <w:rPr>
              <w:b/>
              <w:sz w:val="24"/>
            </w:rPr>
          </w:pPr>
          <w:r>
            <w:fldChar w:fldCharType="end"/>
          </w:r>
          <w:r>
            <w:rPr>
              <w:b/>
              <w:sz w:val="24"/>
            </w:rPr>
            <w:t>Problem</w:t>
          </w:r>
          <w:r>
            <w:rPr>
              <w:b/>
              <w:spacing w:val="-10"/>
              <w:sz w:val="24"/>
            </w:rPr>
            <w:t xml:space="preserve"> </w:t>
          </w:r>
          <w:r>
            <w:rPr>
              <w:b/>
              <w:spacing w:val="-2"/>
              <w:sz w:val="24"/>
            </w:rPr>
            <w:t>Description</w:t>
          </w:r>
          <w:bookmarkStart w:id="0" w:name="Table_of_Contents"/>
          <w:bookmarkEnd w:id="0"/>
          <w:r>
            <w:rPr>
              <w:b/>
              <w:sz w:val="24"/>
            </w:rPr>
            <w:tab/>
          </w:r>
          <w:r>
            <w:rPr>
              <w:b/>
              <w:spacing w:val="-10"/>
              <w:sz w:val="24"/>
            </w:rPr>
            <w:t>3</w:t>
          </w:r>
        </w:p>
        <w:p w14:paraId="195615D8">
          <w:pPr>
            <w:pStyle w:val="18"/>
            <w:numPr>
              <w:ilvl w:val="0"/>
              <w:numId w:val="1"/>
            </w:numPr>
            <w:tabs>
              <w:tab w:val="left" w:pos="1027"/>
              <w:tab w:val="right" w:leader="dot" w:pos="9044"/>
            </w:tabs>
            <w:spacing w:after="240"/>
            <w:jc w:val="both"/>
            <w:rPr>
              <w:b/>
              <w:sz w:val="24"/>
            </w:rPr>
          </w:pPr>
          <w:r>
            <w:rPr>
              <w:b/>
              <w:sz w:val="24"/>
            </w:rPr>
            <w:t xml:space="preserve">Architecture </w:t>
          </w:r>
          <w:r>
            <w:rPr>
              <w:b/>
              <w:sz w:val="24"/>
            </w:rPr>
            <w:tab/>
          </w:r>
          <w:r>
            <w:rPr>
              <w:b/>
              <w:spacing w:val="-10"/>
              <w:sz w:val="24"/>
            </w:rPr>
            <w:t>4</w:t>
          </w:r>
        </w:p>
        <w:p w14:paraId="1690B6B2">
          <w:pPr>
            <w:pStyle w:val="18"/>
            <w:numPr>
              <w:ilvl w:val="0"/>
              <w:numId w:val="1"/>
            </w:numPr>
            <w:tabs>
              <w:tab w:val="left" w:pos="1027"/>
              <w:tab w:val="right" w:leader="dot" w:pos="8322"/>
            </w:tabs>
            <w:spacing w:after="240"/>
            <w:jc w:val="both"/>
            <w:rPr>
              <w:b/>
              <w:sz w:val="24"/>
            </w:rPr>
          </w:pPr>
          <w:r>
            <w:rPr>
              <w:b/>
              <w:sz w:val="24"/>
            </w:rPr>
            <w:t>Models model</w:t>
          </w:r>
          <w:r>
            <w:rPr>
              <w:b/>
              <w:sz w:val="24"/>
            </w:rPr>
            <w:tab/>
          </w:r>
          <w:r>
            <w:rPr>
              <w:b/>
              <w:spacing w:val="-10"/>
              <w:sz w:val="24"/>
            </w:rPr>
            <w:t>5</w:t>
          </w:r>
        </w:p>
        <w:p w14:paraId="48BD791F">
          <w:pPr>
            <w:pStyle w:val="18"/>
            <w:numPr>
              <w:ilvl w:val="0"/>
              <w:numId w:val="1"/>
            </w:numPr>
            <w:tabs>
              <w:tab w:val="left" w:pos="1027"/>
              <w:tab w:val="right" w:leader="dot" w:pos="8366"/>
            </w:tabs>
            <w:spacing w:before="79" w:after="240"/>
            <w:jc w:val="both"/>
            <w:rPr>
              <w:b/>
              <w:sz w:val="24"/>
            </w:rPr>
          </w:pPr>
          <w:r>
            <w:rPr>
              <w:b/>
              <w:sz w:val="24"/>
            </w:rPr>
            <w:t>Evaluation metrics used</w:t>
          </w:r>
          <w:r>
            <w:rPr>
              <w:b/>
              <w:sz w:val="24"/>
            </w:rPr>
            <w:tab/>
          </w:r>
          <w:r>
            <w:rPr>
              <w:b/>
              <w:sz w:val="24"/>
            </w:rPr>
            <w:t>6</w:t>
          </w:r>
        </w:p>
        <w:p w14:paraId="27DC656B">
          <w:pPr>
            <w:pStyle w:val="18"/>
            <w:numPr>
              <w:ilvl w:val="0"/>
              <w:numId w:val="1"/>
            </w:numPr>
            <w:tabs>
              <w:tab w:val="left" w:pos="1027"/>
              <w:tab w:val="right" w:leader="dot" w:pos="8385"/>
            </w:tabs>
            <w:spacing w:before="79" w:after="240"/>
            <w:jc w:val="both"/>
            <w:rPr>
              <w:b/>
              <w:sz w:val="24"/>
            </w:rPr>
          </w:pPr>
          <w:r>
            <w:rPr>
              <w:b/>
              <w:sz w:val="24"/>
            </w:rPr>
            <w:t>Preliminary Results and Visualizations</w:t>
          </w:r>
          <w:r>
            <w:rPr>
              <w:b/>
              <w:sz w:val="24"/>
            </w:rPr>
            <w:tab/>
          </w:r>
          <w:r>
            <w:rPr>
              <w:b/>
              <w:spacing w:val="-5"/>
              <w:sz w:val="24"/>
            </w:rPr>
            <w:t>7</w:t>
          </w:r>
          <w:r>
            <w:rPr>
              <w:rFonts w:hint="default"/>
              <w:b/>
              <w:spacing w:val="-5"/>
              <w:sz w:val="24"/>
              <w:lang w:val="en-US"/>
            </w:rPr>
            <w:t>-9</w:t>
          </w:r>
        </w:p>
        <w:p w14:paraId="4D2B7477">
          <w:pPr>
            <w:pStyle w:val="18"/>
            <w:numPr>
              <w:ilvl w:val="0"/>
              <w:numId w:val="1"/>
            </w:numPr>
            <w:tabs>
              <w:tab w:val="left" w:pos="1027"/>
              <w:tab w:val="right" w:leader="dot" w:pos="8385"/>
            </w:tabs>
            <w:spacing w:before="79"/>
            <w:jc w:val="both"/>
            <w:rPr>
              <w:b/>
              <w:sz w:val="24"/>
            </w:rPr>
          </w:pPr>
          <w:r>
            <w:rPr>
              <w:b/>
              <w:spacing w:val="-5"/>
              <w:sz w:val="24"/>
            </w:rPr>
            <w:t>References</w:t>
          </w:r>
          <w:r>
            <w:rPr>
              <w:b/>
              <w:sz w:val="24"/>
            </w:rPr>
            <w:tab/>
          </w:r>
          <w:r>
            <w:rPr>
              <w:rFonts w:hint="default"/>
              <w:b/>
              <w:sz w:val="24"/>
              <w:lang w:val="en-US"/>
            </w:rPr>
            <w:t>10</w:t>
          </w:r>
        </w:p>
        <w:p w14:paraId="171FD4B9">
          <w:pPr>
            <w:jc w:val="both"/>
          </w:pPr>
        </w:p>
        <w:p w14:paraId="3B30685E">
          <w:pPr>
            <w:jc w:val="both"/>
          </w:pPr>
        </w:p>
        <w:p w14:paraId="3AD64141">
          <w:pPr>
            <w:jc w:val="both"/>
          </w:pPr>
        </w:p>
      </w:sdtContent>
    </w:sdt>
    <w:p w14:paraId="7CF49231">
      <w:pPr>
        <w:jc w:val="both"/>
      </w:pPr>
      <w:r>
        <w:br w:type="page"/>
      </w:r>
    </w:p>
    <w:p w14:paraId="1DED6447">
      <w:pPr>
        <w:pStyle w:val="2"/>
        <w:bidi w:val="0"/>
        <w:jc w:val="both"/>
        <w:rPr>
          <w:color w:val="auto"/>
        </w:rPr>
      </w:pPr>
      <w:r>
        <w:rPr>
          <w:color w:val="auto"/>
        </w:rPr>
        <w:t>1. Problem Description</w:t>
      </w:r>
    </w:p>
    <w:p w14:paraId="687E6298">
      <w:pPr>
        <w:spacing w:after="120"/>
        <w:jc w:val="both"/>
        <w:rPr>
          <w:rFonts w:ascii="Arial" w:hAnsi="Arial" w:eastAsia="Arial" w:cs="Arial"/>
          <w:color w:val="000000"/>
          <w:sz w:val="22"/>
          <w:szCs w:val="22"/>
        </w:rPr>
      </w:pPr>
    </w:p>
    <w:p w14:paraId="2F3D174E">
      <w:pPr>
        <w:spacing w:after="120"/>
        <w:jc w:val="both"/>
      </w:pPr>
      <w:r>
        <w:rPr>
          <w:rFonts w:ascii="Arial" w:hAnsi="Arial" w:eastAsia="Arial" w:cs="Arial"/>
          <w:color w:val="000000"/>
          <w:sz w:val="22"/>
          <w:szCs w:val="22"/>
        </w:rPr>
        <w:t>The Energy Usage Prediction System is a Python-based end-to-end machine learning regression project designed to analyze and predict appliance energy consumption in an institutional setting. The project uses a real-world energy dataset containing 14,000 timestamped records across 19 features such as indoor/outdoor temperature, humidity, atmospheric pressure, windspeed, visibility, dew point, and time-based features (hour, month).</w:t>
      </w:r>
    </w:p>
    <w:p w14:paraId="679613FF">
      <w:pPr>
        <w:spacing w:after="100"/>
        <w:jc w:val="both"/>
      </w:pPr>
    </w:p>
    <w:p w14:paraId="02D3E733">
      <w:pPr>
        <w:spacing w:after="120"/>
        <w:jc w:val="both"/>
      </w:pPr>
      <w:r>
        <w:rPr>
          <w:rFonts w:ascii="Arial" w:hAnsi="Arial" w:eastAsia="Arial" w:cs="Arial"/>
          <w:color w:val="000000"/>
          <w:sz w:val="22"/>
          <w:szCs w:val="22"/>
        </w:rPr>
        <w:t>The core objective is to build and compare regression models that can accurately predict the energy usage of appliances (in Wh). The pipeline includes data loading and EDA, data cleaning and preprocessing, feature selection using Forward Selection, Backward Selection, and PCA, model training and evaluation using Linear Regression, Random Forest, and Gradient Boosting, and finally model export for deployment.</w:t>
      </w:r>
    </w:p>
    <w:p w14:paraId="0BF46022">
      <w:pPr>
        <w:spacing w:after="100"/>
        <w:jc w:val="both"/>
      </w:pPr>
    </w:p>
    <w:p w14:paraId="5B7C6969">
      <w:pPr>
        <w:spacing w:after="120"/>
        <w:jc w:val="both"/>
      </w:pPr>
      <w:r>
        <w:rPr>
          <w:rFonts w:ascii="Arial" w:hAnsi="Arial" w:eastAsia="Arial" w:cs="Arial"/>
          <w:color w:val="000000"/>
          <w:sz w:val="22"/>
          <w:szCs w:val="22"/>
        </w:rPr>
        <w:t>The target variable is 'Appliances' (energy usage in Wh). Key features include T1–T5 (temperatures across different rooms), RH_1–RH_5 (relative humidity), T_out (outdoor temperature), RH_out, Press_mm_hg (pressure), Windspeed, Visibility, Tdewpoint, hour, and month.</w:t>
      </w:r>
    </w:p>
    <w:p w14:paraId="4E888D77">
      <w:pPr>
        <w:jc w:val="both"/>
      </w:pPr>
      <w:r>
        <w:br w:type="page"/>
      </w:r>
    </w:p>
    <w:p w14:paraId="771CBAFE">
      <w:pPr>
        <w:pStyle w:val="2"/>
        <w:jc w:val="both"/>
        <w:rPr>
          <w:color w:val="auto"/>
        </w:rPr>
      </w:pPr>
      <w:r>
        <w:rPr>
          <w:rFonts w:ascii="Arial" w:hAnsi="Arial" w:eastAsia="Arial" w:cs="Arial"/>
          <w:b/>
          <w:bCs/>
          <w:color w:val="auto"/>
          <w:sz w:val="32"/>
          <w:szCs w:val="32"/>
        </w:rPr>
        <w:t>2. Architecture</w:t>
      </w:r>
    </w:p>
    <w:p w14:paraId="2194AF5B">
      <w:pPr>
        <w:spacing w:after="120"/>
        <w:jc w:val="both"/>
        <w:rPr>
          <w:rFonts w:ascii="Arial" w:hAnsi="Arial" w:eastAsia="Arial" w:cs="Arial"/>
          <w:color w:val="000000"/>
          <w:sz w:val="22"/>
          <w:szCs w:val="22"/>
        </w:rPr>
      </w:pPr>
    </w:p>
    <w:p w14:paraId="5064229C">
      <w:pPr>
        <w:spacing w:after="100"/>
        <w:jc w:val="both"/>
        <w:rPr>
          <w:rFonts w:hint="default"/>
          <w:lang w:val="en-US"/>
        </w:rPr>
      </w:pPr>
      <w:r>
        <w:rPr>
          <w:rFonts w:hint="default"/>
          <w:lang w:val="en-US"/>
        </w:rPr>
        <w:drawing>
          <wp:inline distT="0" distB="0" distL="114300" distR="114300">
            <wp:extent cx="4838065" cy="6864350"/>
            <wp:effectExtent l="0" t="0" r="8255" b="8890"/>
            <wp:docPr id="12" name="Picture 12" descr="ChatGPT Image Apr 30, 2026, 12_32_2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tGPT Image Apr 30, 2026, 12_32_24 PM"/>
                    <pic:cNvPicPr>
                      <a:picLocks noChangeAspect="1"/>
                    </pic:cNvPicPr>
                  </pic:nvPicPr>
                  <pic:blipFill>
                    <a:blip r:embed="rId5"/>
                    <a:stretch>
                      <a:fillRect/>
                    </a:stretch>
                  </pic:blipFill>
                  <pic:spPr>
                    <a:xfrm>
                      <a:off x="0" y="0"/>
                      <a:ext cx="4838065" cy="6864350"/>
                    </a:xfrm>
                    <a:prstGeom prst="rect">
                      <a:avLst/>
                    </a:prstGeom>
                  </pic:spPr>
                </pic:pic>
              </a:graphicData>
            </a:graphic>
          </wp:inline>
        </w:drawing>
      </w:r>
    </w:p>
    <w:p w14:paraId="28D7E489">
      <w:pPr>
        <w:spacing w:after="160"/>
        <w:jc w:val="both"/>
      </w:pPr>
      <w:r>
        <w:rPr>
          <w:rFonts w:ascii="Arial" w:hAnsi="Arial" w:eastAsia="Arial" w:cs="Arial"/>
          <w:i/>
          <w:iCs/>
          <w:color w:val="555555"/>
          <w:sz w:val="18"/>
          <w:szCs w:val="18"/>
        </w:rPr>
        <w:t>Fig. 1 — End-to-End ML Pipeline Flowchart</w:t>
      </w:r>
    </w:p>
    <w:p w14:paraId="05D2BB52">
      <w:pPr>
        <w:jc w:val="both"/>
      </w:pPr>
      <w:r>
        <w:br w:type="page"/>
      </w:r>
    </w:p>
    <w:p w14:paraId="379973E0">
      <w:pPr>
        <w:pStyle w:val="2"/>
        <w:numPr>
          <w:ilvl w:val="0"/>
          <w:numId w:val="2"/>
        </w:numPr>
        <w:jc w:val="both"/>
        <w:rPr>
          <w:rFonts w:ascii="Arial" w:hAnsi="Arial" w:eastAsia="Arial" w:cs="Arial"/>
          <w:b/>
          <w:bCs/>
          <w:color w:val="auto"/>
          <w:sz w:val="32"/>
          <w:szCs w:val="32"/>
        </w:rPr>
      </w:pPr>
      <w:r>
        <w:rPr>
          <w:rFonts w:ascii="Arial" w:hAnsi="Arial" w:eastAsia="Arial" w:cs="Arial"/>
          <w:b/>
          <w:bCs/>
          <w:color w:val="auto"/>
          <w:sz w:val="32"/>
          <w:szCs w:val="32"/>
        </w:rPr>
        <w:t>Models Used</w:t>
      </w:r>
    </w:p>
    <w:p w14:paraId="62C2CA15">
      <w:pPr>
        <w:numPr>
          <w:ilvl w:val="0"/>
          <w:numId w:val="0"/>
        </w:numPr>
        <w:jc w:val="both"/>
      </w:pPr>
    </w:p>
    <w:p w14:paraId="66367F54">
      <w:pPr>
        <w:pStyle w:val="3"/>
        <w:jc w:val="both"/>
        <w:rPr>
          <w:color w:val="auto"/>
        </w:rPr>
      </w:pPr>
      <w:r>
        <w:rPr>
          <w:rFonts w:ascii="Arial" w:hAnsi="Arial" w:eastAsia="Arial" w:cs="Arial"/>
          <w:b/>
          <w:bCs/>
          <w:color w:val="auto"/>
          <w:sz w:val="28"/>
          <w:szCs w:val="28"/>
        </w:rPr>
        <w:t>3.1 Linear Regression</w:t>
      </w:r>
    </w:p>
    <w:p w14:paraId="02A897F5">
      <w:pPr>
        <w:spacing w:after="120"/>
        <w:jc w:val="both"/>
      </w:pPr>
      <w:r>
        <w:rPr>
          <w:rFonts w:ascii="Arial" w:hAnsi="Arial" w:eastAsia="Arial" w:cs="Arial"/>
          <w:color w:val="000000"/>
          <w:sz w:val="22"/>
          <w:szCs w:val="22"/>
        </w:rPr>
        <w:t>Linear Regression is the foundational supervised learning algorithm for regression tasks. It models the relationship between the dependent variable (Appliances) and independent features as a linear equation: Y = β₀ + β₁X₁ + β₂X₂ + ... + βₙXₙ. It assumes a linear relationship between inputs and outputs and is used as a baseline model. It is computationally efficient and interpretable but may underfit when relationships are non-linear.</w:t>
      </w:r>
    </w:p>
    <w:p w14:paraId="59761C72">
      <w:pPr>
        <w:spacing w:after="120"/>
        <w:jc w:val="both"/>
      </w:pPr>
      <w:r>
        <w:rPr>
          <w:rFonts w:ascii="Arial" w:hAnsi="Arial" w:eastAsia="Arial" w:cs="Arial"/>
          <w:color w:val="000000"/>
          <w:sz w:val="22"/>
          <w:szCs w:val="22"/>
        </w:rPr>
        <w:t>In this project, Linear Regression was trained on the 9 features selected by Forward Feature Selection after StandardScaler normalization. It was evaluated using MAE, RMSE, MSE, and R² Score.</w:t>
      </w:r>
    </w:p>
    <w:p w14:paraId="06C27FB7">
      <w:pPr>
        <w:spacing w:after="100"/>
        <w:jc w:val="both"/>
      </w:pPr>
    </w:p>
    <w:p w14:paraId="6D51B768">
      <w:pPr>
        <w:pStyle w:val="3"/>
        <w:jc w:val="both"/>
        <w:rPr>
          <w:color w:val="auto"/>
        </w:rPr>
      </w:pPr>
      <w:r>
        <w:rPr>
          <w:rFonts w:ascii="Arial" w:hAnsi="Arial" w:eastAsia="Arial" w:cs="Arial"/>
          <w:b/>
          <w:bCs/>
          <w:color w:val="auto"/>
          <w:sz w:val="28"/>
          <w:szCs w:val="28"/>
        </w:rPr>
        <w:t>3.2 Random Forest Regressor</w:t>
      </w:r>
    </w:p>
    <w:p w14:paraId="5C1EF227">
      <w:pPr>
        <w:spacing w:after="120"/>
        <w:jc w:val="both"/>
      </w:pPr>
      <w:r>
        <w:rPr>
          <w:rFonts w:ascii="Arial" w:hAnsi="Arial" w:eastAsia="Arial" w:cs="Arial"/>
          <w:color w:val="000000"/>
          <w:sz w:val="22"/>
          <w:szCs w:val="22"/>
        </w:rPr>
        <w:t>Random Forest is an ensemble learning method that constructs multiple decision trees during training and outputs the mean prediction of all trees. It reduces variance and avoids overfitting compared to a single decision tree. Key hyperparameters used: n_estimators=100, random_state=42.</w:t>
      </w:r>
    </w:p>
    <w:p w14:paraId="2EDC3CD0">
      <w:pPr>
        <w:spacing w:after="120"/>
        <w:jc w:val="both"/>
      </w:pPr>
      <w:r>
        <w:rPr>
          <w:rFonts w:ascii="Arial" w:hAnsi="Arial" w:eastAsia="Arial" w:cs="Arial"/>
          <w:color w:val="000000"/>
          <w:sz w:val="22"/>
          <w:szCs w:val="22"/>
        </w:rPr>
        <w:t>Random Forest captures non-linear relationships and feature interactions that Linear Regression cannot. It is robust to outliers and missing values and provides implicit feature importance rankings. In this project, it achieved the best performance with an R² Score of approximately 0.583.</w:t>
      </w:r>
    </w:p>
    <w:p w14:paraId="22791CF0">
      <w:pPr>
        <w:spacing w:after="100"/>
        <w:jc w:val="both"/>
      </w:pPr>
    </w:p>
    <w:p w14:paraId="1F83CF45">
      <w:pPr>
        <w:pStyle w:val="3"/>
        <w:jc w:val="both"/>
        <w:rPr>
          <w:color w:val="auto"/>
        </w:rPr>
      </w:pPr>
      <w:r>
        <w:rPr>
          <w:rFonts w:ascii="Arial" w:hAnsi="Arial" w:eastAsia="Arial" w:cs="Arial"/>
          <w:b/>
          <w:bCs/>
          <w:color w:val="auto"/>
          <w:sz w:val="28"/>
          <w:szCs w:val="28"/>
        </w:rPr>
        <w:t>3.3 Gradient Boosting Regressor</w:t>
      </w:r>
    </w:p>
    <w:p w14:paraId="279D947C">
      <w:pPr>
        <w:spacing w:after="120"/>
        <w:jc w:val="both"/>
      </w:pPr>
      <w:r>
        <w:rPr>
          <w:rFonts w:ascii="Arial" w:hAnsi="Arial" w:eastAsia="Arial" w:cs="Arial"/>
          <w:color w:val="000000"/>
          <w:sz w:val="22"/>
          <w:szCs w:val="22"/>
        </w:rPr>
        <w:t>Gradient Boosting builds trees sequentially where each new tree corrects the residual errors of the previous one. It is a powerful ensemble technique that can achieve high accuracy by optimizing a loss function using gradient descent. Key hyperparameters used: n_estimators=100, random_state=42.</w:t>
      </w:r>
    </w:p>
    <w:p w14:paraId="28C3DA60">
      <w:pPr>
        <w:spacing w:after="120"/>
        <w:jc w:val="both"/>
      </w:pPr>
      <w:r>
        <w:rPr>
          <w:rFonts w:ascii="Arial" w:hAnsi="Arial" w:eastAsia="Arial" w:cs="Arial"/>
          <w:color w:val="000000"/>
          <w:sz w:val="22"/>
          <w:szCs w:val="22"/>
        </w:rPr>
        <w:t>Gradient Boosting is particularly effective on structured/tabular data. It generally achieves better accuracy than Random Forest but is more sensitive to hyperparameters and may take longer to train. In this project, it achieved an R² Score of approximately 0.42.</w:t>
      </w:r>
    </w:p>
    <w:p w14:paraId="1DF268CB">
      <w:pPr>
        <w:jc w:val="both"/>
      </w:pPr>
      <w:r>
        <w:br w:type="page"/>
      </w:r>
    </w:p>
    <w:p w14:paraId="3BE5EFDF">
      <w:pPr>
        <w:pStyle w:val="2"/>
        <w:jc w:val="both"/>
        <w:rPr>
          <w:color w:val="auto"/>
        </w:rPr>
      </w:pPr>
      <w:r>
        <w:rPr>
          <w:rFonts w:ascii="Arial" w:hAnsi="Arial" w:eastAsia="Arial" w:cs="Arial"/>
          <w:b/>
          <w:bCs/>
          <w:color w:val="auto"/>
          <w:sz w:val="32"/>
          <w:szCs w:val="32"/>
        </w:rPr>
        <w:t>4. Evaluation Metrics Used</w:t>
      </w:r>
    </w:p>
    <w:p w14:paraId="65667842">
      <w:pPr>
        <w:pStyle w:val="3"/>
        <w:jc w:val="both"/>
        <w:rPr>
          <w:rFonts w:ascii="Arial" w:hAnsi="Arial" w:eastAsia="Arial" w:cs="Arial"/>
          <w:b/>
          <w:bCs/>
          <w:color w:val="1F5C8B"/>
          <w:sz w:val="28"/>
          <w:szCs w:val="28"/>
        </w:rPr>
      </w:pPr>
    </w:p>
    <w:p w14:paraId="00FAFD28">
      <w:pPr>
        <w:pStyle w:val="3"/>
        <w:jc w:val="both"/>
        <w:rPr>
          <w:color w:val="auto"/>
        </w:rPr>
      </w:pPr>
      <w:r>
        <w:rPr>
          <w:rFonts w:ascii="Arial" w:hAnsi="Arial" w:eastAsia="Arial" w:cs="Arial"/>
          <w:b/>
          <w:bCs/>
          <w:color w:val="auto"/>
          <w:sz w:val="28"/>
          <w:szCs w:val="28"/>
        </w:rPr>
        <w:t>4.1 Mean Absolute Error (MAE)</w:t>
      </w:r>
    </w:p>
    <w:p w14:paraId="42857A9A">
      <w:pPr>
        <w:spacing w:after="120"/>
        <w:jc w:val="both"/>
      </w:pPr>
      <w:r>
        <w:rPr>
          <w:rFonts w:ascii="Arial" w:hAnsi="Arial" w:eastAsia="Arial" w:cs="Arial"/>
          <w:color w:val="000000"/>
          <w:sz w:val="22"/>
          <w:szCs w:val="22"/>
        </w:rPr>
        <w:t>MAE measures the average absolute difference between actual and predicted values. It gives equal weight to all errors and is robust to outliers. Formula: MAE = (1/n) × Σ|yᵢ - ŷᵢ|. A lower MAE indicates better model accuracy.</w:t>
      </w:r>
    </w:p>
    <w:p w14:paraId="130F9F10">
      <w:pPr>
        <w:spacing w:after="100"/>
        <w:jc w:val="both"/>
      </w:pPr>
    </w:p>
    <w:p w14:paraId="1F8F7FEE">
      <w:pPr>
        <w:pStyle w:val="3"/>
        <w:jc w:val="both"/>
        <w:rPr>
          <w:color w:val="auto"/>
        </w:rPr>
      </w:pPr>
      <w:r>
        <w:rPr>
          <w:rFonts w:ascii="Arial" w:hAnsi="Arial" w:eastAsia="Arial" w:cs="Arial"/>
          <w:b/>
          <w:bCs/>
          <w:color w:val="auto"/>
          <w:sz w:val="28"/>
          <w:szCs w:val="28"/>
        </w:rPr>
        <w:t>4.2 Root Mean Squared Error (RMSE)</w:t>
      </w:r>
    </w:p>
    <w:p w14:paraId="2D27258B">
      <w:pPr>
        <w:spacing w:after="120"/>
        <w:jc w:val="both"/>
      </w:pPr>
      <w:r>
        <w:rPr>
          <w:rFonts w:ascii="Arial" w:hAnsi="Arial" w:eastAsia="Arial" w:cs="Arial"/>
          <w:color w:val="000000"/>
          <w:sz w:val="22"/>
          <w:szCs w:val="22"/>
        </w:rPr>
        <w:t>RMSE is the square root of the average of squared differences between actual and predicted values. It penalizes larger errors more than MAE and is in the same units as the target variable. Formula: RMSE = √[(1/n) × Σ(yᵢ - ŷᵢ)²].</w:t>
      </w:r>
    </w:p>
    <w:p w14:paraId="20E28C8B">
      <w:pPr>
        <w:spacing w:after="100"/>
        <w:jc w:val="both"/>
      </w:pPr>
    </w:p>
    <w:p w14:paraId="3B702A81">
      <w:pPr>
        <w:pStyle w:val="3"/>
        <w:jc w:val="both"/>
        <w:rPr>
          <w:color w:val="auto"/>
        </w:rPr>
      </w:pPr>
      <w:r>
        <w:rPr>
          <w:rFonts w:ascii="Arial" w:hAnsi="Arial" w:eastAsia="Arial" w:cs="Arial"/>
          <w:b/>
          <w:bCs/>
          <w:color w:val="auto"/>
          <w:sz w:val="28"/>
          <w:szCs w:val="28"/>
        </w:rPr>
        <w:t>4.3 Mean Squared Error (MSE)</w:t>
      </w:r>
    </w:p>
    <w:p w14:paraId="4526A960">
      <w:pPr>
        <w:spacing w:after="120"/>
        <w:jc w:val="both"/>
      </w:pPr>
      <w:r>
        <w:rPr>
          <w:rFonts w:ascii="Arial" w:hAnsi="Arial" w:eastAsia="Arial" w:cs="Arial"/>
          <w:color w:val="000000"/>
          <w:sz w:val="22"/>
          <w:szCs w:val="22"/>
        </w:rPr>
        <w:t>MSE measures the average of the squares of the errors. It amplifies large errors, making it sensitive to outliers. Formula: MSE = (1/n) × Σ(yᵢ - ŷᵢ)². It is used to numerically quantify variance in predictions.</w:t>
      </w:r>
    </w:p>
    <w:p w14:paraId="6AC7B13E">
      <w:pPr>
        <w:spacing w:after="100"/>
        <w:jc w:val="both"/>
      </w:pPr>
    </w:p>
    <w:p w14:paraId="5DFB9C1A">
      <w:pPr>
        <w:pStyle w:val="3"/>
        <w:jc w:val="both"/>
        <w:rPr>
          <w:color w:val="auto"/>
        </w:rPr>
      </w:pPr>
      <w:r>
        <w:rPr>
          <w:rFonts w:ascii="Arial" w:hAnsi="Arial" w:eastAsia="Arial" w:cs="Arial"/>
          <w:b/>
          <w:bCs/>
          <w:color w:val="auto"/>
          <w:sz w:val="28"/>
          <w:szCs w:val="28"/>
        </w:rPr>
        <w:t>4.4 R² Score (Coefficient of Determination)</w:t>
      </w:r>
    </w:p>
    <w:p w14:paraId="253C091D">
      <w:pPr>
        <w:spacing w:after="120"/>
        <w:jc w:val="both"/>
      </w:pPr>
      <w:r>
        <w:rPr>
          <w:rFonts w:ascii="Arial" w:hAnsi="Arial" w:eastAsia="Arial" w:cs="Arial"/>
          <w:color w:val="000000"/>
          <w:sz w:val="22"/>
          <w:szCs w:val="22"/>
        </w:rPr>
        <w:t>R² Score indicates the proportion of variance in the target variable explained by the model. It ranges from 0 to 1 (or negative for very poor models). Formula: R² = 1 - (SS_res / SS_tot). An R² close to 1 means the model explains most of the variance.</w:t>
      </w:r>
    </w:p>
    <w:p w14:paraId="07892F98">
      <w:pPr>
        <w:spacing w:after="100"/>
        <w:jc w:val="both"/>
      </w:pPr>
    </w:p>
    <w:p w14:paraId="20846BEC">
      <w:pPr>
        <w:spacing w:after="100"/>
        <w:jc w:val="both"/>
      </w:pPr>
      <w:r>
        <w:rPr>
          <w:rFonts w:ascii="Arial" w:hAnsi="Arial" w:eastAsia="Arial" w:cs="Arial"/>
          <w:b/>
          <w:bCs/>
          <w:sz w:val="22"/>
          <w:szCs w:val="22"/>
        </w:rPr>
        <w:t>Summary of Results:</w:t>
      </w:r>
    </w:p>
    <w:p w14:paraId="1499B6B2">
      <w:pPr>
        <w:spacing w:after="100"/>
        <w:jc w:val="both"/>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18"/>
        <w:gridCol w:w="1824"/>
        <w:gridCol w:w="1824"/>
        <w:gridCol w:w="1870"/>
        <w:gridCol w:w="1824"/>
      </w:tblGrid>
      <w:tr w14:paraId="5E1D1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0B69F073">
            <w:pPr>
              <w:jc w:val="both"/>
            </w:pPr>
            <w:r>
              <w:rPr>
                <w:rFonts w:ascii="Arial" w:hAnsi="Arial" w:eastAsia="Arial" w:cs="Arial"/>
                <w:b/>
                <w:bCs/>
                <w:color w:val="FFFFFF"/>
                <w:sz w:val="20"/>
                <w:szCs w:val="20"/>
              </w:rPr>
              <w:t>Model</w:t>
            </w:r>
          </w:p>
        </w:tc>
        <w:tc>
          <w:tcPr>
            <w:tcW w:w="25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1FEB6698">
            <w:pPr>
              <w:jc w:val="both"/>
            </w:pPr>
            <w:r>
              <w:rPr>
                <w:rFonts w:ascii="Arial" w:hAnsi="Arial" w:eastAsia="Arial" w:cs="Arial"/>
                <w:b/>
                <w:bCs/>
                <w:color w:val="FFFFFF"/>
                <w:sz w:val="20"/>
                <w:szCs w:val="20"/>
              </w:rPr>
              <w:t>MAE</w:t>
            </w:r>
          </w:p>
        </w:tc>
        <w:tc>
          <w:tcPr>
            <w:tcW w:w="25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70DCE6C4">
            <w:pPr>
              <w:jc w:val="both"/>
            </w:pPr>
            <w:r>
              <w:rPr>
                <w:rFonts w:ascii="Arial" w:hAnsi="Arial" w:eastAsia="Arial" w:cs="Arial"/>
                <w:b/>
                <w:bCs/>
                <w:color w:val="FFFFFF"/>
                <w:sz w:val="20"/>
                <w:szCs w:val="20"/>
              </w:rPr>
              <w:t>RMSE</w:t>
            </w:r>
          </w:p>
        </w:tc>
        <w:tc>
          <w:tcPr>
            <w:tcW w:w="25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1AD17413">
            <w:pPr>
              <w:jc w:val="both"/>
            </w:pPr>
            <w:r>
              <w:rPr>
                <w:rFonts w:ascii="Arial" w:hAnsi="Arial" w:eastAsia="Arial" w:cs="Arial"/>
                <w:b/>
                <w:bCs/>
                <w:color w:val="FFFFFF"/>
                <w:sz w:val="20"/>
                <w:szCs w:val="20"/>
              </w:rPr>
              <w:t>MSE</w:t>
            </w:r>
          </w:p>
        </w:tc>
        <w:tc>
          <w:tcPr>
            <w:tcW w:w="25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31380E86">
            <w:pPr>
              <w:jc w:val="both"/>
            </w:pPr>
            <w:r>
              <w:rPr>
                <w:rFonts w:ascii="Arial" w:hAnsi="Arial" w:eastAsia="Arial" w:cs="Arial"/>
                <w:b/>
                <w:bCs/>
                <w:color w:val="FFFFFF"/>
                <w:sz w:val="20"/>
                <w:szCs w:val="20"/>
              </w:rPr>
              <w:t>R² Score</w:t>
            </w:r>
          </w:p>
        </w:tc>
      </w:tr>
      <w:tr w14:paraId="71D4F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4FF"/>
            <w:tcMar>
              <w:top w:w="80" w:type="dxa"/>
              <w:left w:w="120" w:type="dxa"/>
              <w:bottom w:w="80" w:type="dxa"/>
              <w:right w:w="120" w:type="dxa"/>
            </w:tcMar>
          </w:tcPr>
          <w:p w14:paraId="4F3498E9">
            <w:pPr>
              <w:jc w:val="both"/>
            </w:pPr>
            <w:r>
              <w:rPr>
                <w:rFonts w:ascii="Arial" w:hAnsi="Arial" w:eastAsia="Arial" w:cs="Arial"/>
                <w:b/>
                <w:bCs/>
                <w:sz w:val="20"/>
                <w:szCs w:val="20"/>
              </w:rPr>
              <w:t>Linear Regression</w:t>
            </w:r>
          </w:p>
        </w:tc>
        <w:tc>
          <w:tcPr>
            <w:tcW w:w="1715" w:type="dxa"/>
            <w:tcBorders>
              <w:top w:val="single" w:color="CCCCCC" w:sz="0" w:space="0"/>
              <w:left w:val="single" w:color="CCCCCC" w:sz="0" w:space="0"/>
              <w:bottom w:val="single" w:color="CCCCCC" w:sz="0" w:space="0"/>
              <w:right w:val="single" w:color="CCCCCC" w:sz="0" w:space="0"/>
            </w:tcBorders>
            <w:shd w:val="clear" w:color="auto" w:fill="EBF4FF"/>
            <w:tcMar>
              <w:top w:w="80" w:type="dxa"/>
              <w:left w:w="120" w:type="dxa"/>
              <w:bottom w:w="80" w:type="dxa"/>
              <w:right w:w="120" w:type="dxa"/>
            </w:tcMar>
          </w:tcPr>
          <w:p w14:paraId="12E48F04">
            <w:pPr>
              <w:jc w:val="both"/>
            </w:pPr>
            <w:r>
              <w:rPr>
                <w:rFonts w:ascii="Arial" w:hAnsi="Arial" w:eastAsia="Arial" w:cs="Arial"/>
                <w:b w:val="0"/>
                <w:bCs w:val="0"/>
                <w:sz w:val="20"/>
                <w:szCs w:val="20"/>
              </w:rPr>
              <w:t>20.77</w:t>
            </w:r>
          </w:p>
        </w:tc>
        <w:tc>
          <w:tcPr>
            <w:tcW w:w="1715" w:type="dxa"/>
            <w:tcBorders>
              <w:top w:val="single" w:color="CCCCCC" w:sz="0" w:space="0"/>
              <w:left w:val="single" w:color="CCCCCC" w:sz="0" w:space="0"/>
              <w:bottom w:val="single" w:color="CCCCCC" w:sz="0" w:space="0"/>
              <w:right w:val="single" w:color="CCCCCC" w:sz="0" w:space="0"/>
            </w:tcBorders>
            <w:shd w:val="clear" w:color="auto" w:fill="EBF4FF"/>
            <w:tcMar>
              <w:top w:w="80" w:type="dxa"/>
              <w:left w:w="120" w:type="dxa"/>
              <w:bottom w:w="80" w:type="dxa"/>
              <w:right w:w="120" w:type="dxa"/>
            </w:tcMar>
          </w:tcPr>
          <w:p w14:paraId="56E085B8">
            <w:pPr>
              <w:jc w:val="both"/>
            </w:pPr>
            <w:r>
              <w:rPr>
                <w:rFonts w:ascii="Arial" w:hAnsi="Arial" w:eastAsia="Arial" w:cs="Arial"/>
                <w:b w:val="0"/>
                <w:bCs w:val="0"/>
                <w:sz w:val="20"/>
                <w:szCs w:val="20"/>
              </w:rPr>
              <w:t>27.54</w:t>
            </w:r>
          </w:p>
        </w:tc>
        <w:tc>
          <w:tcPr>
            <w:tcW w:w="1715" w:type="dxa"/>
            <w:tcBorders>
              <w:top w:val="single" w:color="CCCCCC" w:sz="0" w:space="0"/>
              <w:left w:val="single" w:color="CCCCCC" w:sz="0" w:space="0"/>
              <w:bottom w:val="single" w:color="CCCCCC" w:sz="0" w:space="0"/>
              <w:right w:val="single" w:color="CCCCCC" w:sz="0" w:space="0"/>
            </w:tcBorders>
            <w:shd w:val="clear" w:color="auto" w:fill="EBF4FF"/>
            <w:tcMar>
              <w:top w:w="80" w:type="dxa"/>
              <w:left w:w="120" w:type="dxa"/>
              <w:bottom w:w="80" w:type="dxa"/>
              <w:right w:w="120" w:type="dxa"/>
            </w:tcMar>
          </w:tcPr>
          <w:p w14:paraId="67992B26">
            <w:pPr>
              <w:jc w:val="both"/>
            </w:pPr>
            <w:r>
              <w:rPr>
                <w:rFonts w:ascii="Arial" w:hAnsi="Arial" w:eastAsia="Arial" w:cs="Arial"/>
                <w:b w:val="0"/>
                <w:bCs w:val="0"/>
                <w:sz w:val="20"/>
                <w:szCs w:val="20"/>
              </w:rPr>
              <w:t>758.56</w:t>
            </w:r>
          </w:p>
        </w:tc>
        <w:tc>
          <w:tcPr>
            <w:tcW w:w="1715" w:type="dxa"/>
            <w:tcBorders>
              <w:top w:val="single" w:color="CCCCCC" w:sz="0" w:space="0"/>
              <w:left w:val="single" w:color="CCCCCC" w:sz="0" w:space="0"/>
              <w:bottom w:val="single" w:color="CCCCCC" w:sz="0" w:space="0"/>
              <w:right w:val="single" w:color="CCCCCC" w:sz="0" w:space="0"/>
            </w:tcBorders>
            <w:shd w:val="clear" w:color="auto" w:fill="EBF4FF"/>
            <w:tcMar>
              <w:top w:w="80" w:type="dxa"/>
              <w:left w:w="120" w:type="dxa"/>
              <w:bottom w:w="80" w:type="dxa"/>
              <w:right w:w="120" w:type="dxa"/>
            </w:tcMar>
          </w:tcPr>
          <w:p w14:paraId="2A50C347">
            <w:pPr>
              <w:jc w:val="both"/>
            </w:pPr>
            <w:r>
              <w:rPr>
                <w:rFonts w:ascii="Arial" w:hAnsi="Arial" w:eastAsia="Arial" w:cs="Arial"/>
                <w:b w:val="0"/>
                <w:bCs w:val="0"/>
                <w:sz w:val="20"/>
                <w:szCs w:val="20"/>
              </w:rPr>
              <w:t>0.197</w:t>
            </w:r>
          </w:p>
        </w:tc>
      </w:tr>
      <w:tr w14:paraId="2EBCF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D6E4F7"/>
            <w:tcMar>
              <w:top w:w="80" w:type="dxa"/>
              <w:left w:w="120" w:type="dxa"/>
              <w:bottom w:w="80" w:type="dxa"/>
              <w:right w:w="120" w:type="dxa"/>
            </w:tcMar>
          </w:tcPr>
          <w:p w14:paraId="1A5EFB01">
            <w:pPr>
              <w:jc w:val="both"/>
            </w:pPr>
            <w:r>
              <w:rPr>
                <w:rFonts w:ascii="Arial" w:hAnsi="Arial" w:eastAsia="Arial" w:cs="Arial"/>
                <w:b/>
                <w:bCs/>
                <w:sz w:val="20"/>
                <w:szCs w:val="20"/>
              </w:rPr>
              <w:t>Random Forest</w:t>
            </w:r>
          </w:p>
        </w:tc>
        <w:tc>
          <w:tcPr>
            <w:tcW w:w="1715" w:type="dxa"/>
            <w:tcBorders>
              <w:top w:val="single" w:color="CCCCCC" w:sz="0" w:space="0"/>
              <w:left w:val="single" w:color="CCCCCC" w:sz="0" w:space="0"/>
              <w:bottom w:val="single" w:color="CCCCCC" w:sz="0" w:space="0"/>
              <w:right w:val="single" w:color="CCCCCC" w:sz="0" w:space="0"/>
            </w:tcBorders>
            <w:shd w:val="clear" w:color="auto" w:fill="D6E4F7"/>
            <w:tcMar>
              <w:top w:w="80" w:type="dxa"/>
              <w:left w:w="120" w:type="dxa"/>
              <w:bottom w:w="80" w:type="dxa"/>
              <w:right w:w="120" w:type="dxa"/>
            </w:tcMar>
          </w:tcPr>
          <w:p w14:paraId="3EC625BE">
            <w:pPr>
              <w:jc w:val="both"/>
            </w:pPr>
            <w:r>
              <w:rPr>
                <w:rFonts w:ascii="Arial" w:hAnsi="Arial" w:eastAsia="Arial" w:cs="Arial"/>
                <w:b w:val="0"/>
                <w:bCs w:val="0"/>
                <w:sz w:val="20"/>
                <w:szCs w:val="20"/>
              </w:rPr>
              <w:t>13.84</w:t>
            </w:r>
          </w:p>
        </w:tc>
        <w:tc>
          <w:tcPr>
            <w:tcW w:w="1715" w:type="dxa"/>
            <w:tcBorders>
              <w:top w:val="single" w:color="CCCCCC" w:sz="0" w:space="0"/>
              <w:left w:val="single" w:color="CCCCCC" w:sz="0" w:space="0"/>
              <w:bottom w:val="single" w:color="CCCCCC" w:sz="0" w:space="0"/>
              <w:right w:val="single" w:color="CCCCCC" w:sz="0" w:space="0"/>
            </w:tcBorders>
            <w:shd w:val="clear" w:color="auto" w:fill="D6E4F7"/>
            <w:tcMar>
              <w:top w:w="80" w:type="dxa"/>
              <w:left w:w="120" w:type="dxa"/>
              <w:bottom w:w="80" w:type="dxa"/>
              <w:right w:w="120" w:type="dxa"/>
            </w:tcMar>
          </w:tcPr>
          <w:p w14:paraId="3783C010">
            <w:pPr>
              <w:jc w:val="both"/>
            </w:pPr>
            <w:r>
              <w:rPr>
                <w:rFonts w:ascii="Arial" w:hAnsi="Arial" w:eastAsia="Arial" w:cs="Arial"/>
                <w:b w:val="0"/>
                <w:bCs w:val="0"/>
                <w:sz w:val="20"/>
                <w:szCs w:val="20"/>
              </w:rPr>
              <w:t>19.85</w:t>
            </w:r>
          </w:p>
        </w:tc>
        <w:tc>
          <w:tcPr>
            <w:tcW w:w="1715" w:type="dxa"/>
            <w:tcBorders>
              <w:top w:val="single" w:color="CCCCCC" w:sz="0" w:space="0"/>
              <w:left w:val="single" w:color="CCCCCC" w:sz="0" w:space="0"/>
              <w:bottom w:val="single" w:color="CCCCCC" w:sz="0" w:space="0"/>
              <w:right w:val="single" w:color="CCCCCC" w:sz="0" w:space="0"/>
            </w:tcBorders>
            <w:shd w:val="clear" w:color="auto" w:fill="D6E4F7"/>
            <w:tcMar>
              <w:top w:w="80" w:type="dxa"/>
              <w:left w:w="120" w:type="dxa"/>
              <w:bottom w:w="80" w:type="dxa"/>
              <w:right w:w="120" w:type="dxa"/>
            </w:tcMar>
          </w:tcPr>
          <w:p w14:paraId="05721A43">
            <w:pPr>
              <w:jc w:val="both"/>
            </w:pPr>
            <w:r>
              <w:rPr>
                <w:rFonts w:ascii="Arial" w:hAnsi="Arial" w:eastAsia="Arial" w:cs="Arial"/>
                <w:b w:val="0"/>
                <w:bCs w:val="0"/>
                <w:sz w:val="20"/>
                <w:szCs w:val="20"/>
              </w:rPr>
              <w:t>393.86</w:t>
            </w:r>
          </w:p>
        </w:tc>
        <w:tc>
          <w:tcPr>
            <w:tcW w:w="1715" w:type="dxa"/>
            <w:tcBorders>
              <w:top w:val="single" w:color="CCCCCC" w:sz="0" w:space="0"/>
              <w:left w:val="single" w:color="CCCCCC" w:sz="0" w:space="0"/>
              <w:bottom w:val="single" w:color="CCCCCC" w:sz="0" w:space="0"/>
              <w:right w:val="single" w:color="CCCCCC" w:sz="0" w:space="0"/>
            </w:tcBorders>
            <w:shd w:val="clear" w:color="auto" w:fill="D6E4F7"/>
            <w:tcMar>
              <w:top w:w="80" w:type="dxa"/>
              <w:left w:w="120" w:type="dxa"/>
              <w:bottom w:w="80" w:type="dxa"/>
              <w:right w:w="120" w:type="dxa"/>
            </w:tcMar>
          </w:tcPr>
          <w:p w14:paraId="46103A32">
            <w:pPr>
              <w:jc w:val="both"/>
            </w:pPr>
            <w:r>
              <w:rPr>
                <w:rFonts w:ascii="Arial" w:hAnsi="Arial" w:eastAsia="Arial" w:cs="Arial"/>
                <w:b w:val="0"/>
                <w:bCs w:val="0"/>
                <w:sz w:val="20"/>
                <w:szCs w:val="20"/>
              </w:rPr>
              <w:t>0.583</w:t>
            </w:r>
          </w:p>
        </w:tc>
      </w:tr>
      <w:tr w14:paraId="34F8E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4FF"/>
            <w:tcMar>
              <w:top w:w="80" w:type="dxa"/>
              <w:left w:w="120" w:type="dxa"/>
              <w:bottom w:w="80" w:type="dxa"/>
              <w:right w:w="120" w:type="dxa"/>
            </w:tcMar>
          </w:tcPr>
          <w:p w14:paraId="277E7145">
            <w:pPr>
              <w:jc w:val="both"/>
            </w:pPr>
            <w:r>
              <w:rPr>
                <w:rFonts w:ascii="Arial" w:hAnsi="Arial" w:eastAsia="Arial" w:cs="Arial"/>
                <w:b/>
                <w:bCs/>
                <w:sz w:val="20"/>
                <w:szCs w:val="20"/>
              </w:rPr>
              <w:t>Gradient Boosting</w:t>
            </w:r>
          </w:p>
        </w:tc>
        <w:tc>
          <w:tcPr>
            <w:tcW w:w="1715" w:type="dxa"/>
            <w:tcBorders>
              <w:top w:val="single" w:color="CCCCCC" w:sz="0" w:space="0"/>
              <w:left w:val="single" w:color="CCCCCC" w:sz="0" w:space="0"/>
              <w:bottom w:val="single" w:color="CCCCCC" w:sz="0" w:space="0"/>
              <w:right w:val="single" w:color="CCCCCC" w:sz="0" w:space="0"/>
            </w:tcBorders>
            <w:shd w:val="clear" w:color="auto" w:fill="EBF4FF"/>
            <w:tcMar>
              <w:top w:w="80" w:type="dxa"/>
              <w:left w:w="120" w:type="dxa"/>
              <w:bottom w:w="80" w:type="dxa"/>
              <w:right w:w="120" w:type="dxa"/>
            </w:tcMar>
          </w:tcPr>
          <w:p w14:paraId="7DE12B1D">
            <w:pPr>
              <w:jc w:val="both"/>
            </w:pPr>
            <w:r>
              <w:rPr>
                <w:rFonts w:ascii="Arial" w:hAnsi="Arial" w:eastAsia="Arial" w:cs="Arial"/>
                <w:b w:val="0"/>
                <w:bCs w:val="0"/>
                <w:sz w:val="20"/>
                <w:szCs w:val="20"/>
              </w:rPr>
              <w:t>~13.84</w:t>
            </w:r>
          </w:p>
        </w:tc>
        <w:tc>
          <w:tcPr>
            <w:tcW w:w="1715" w:type="dxa"/>
            <w:tcBorders>
              <w:top w:val="single" w:color="CCCCCC" w:sz="0" w:space="0"/>
              <w:left w:val="single" w:color="CCCCCC" w:sz="0" w:space="0"/>
              <w:bottom w:val="single" w:color="CCCCCC" w:sz="0" w:space="0"/>
              <w:right w:val="single" w:color="CCCCCC" w:sz="0" w:space="0"/>
            </w:tcBorders>
            <w:shd w:val="clear" w:color="auto" w:fill="EBF4FF"/>
            <w:tcMar>
              <w:top w:w="80" w:type="dxa"/>
              <w:left w:w="120" w:type="dxa"/>
              <w:bottom w:w="80" w:type="dxa"/>
              <w:right w:w="120" w:type="dxa"/>
            </w:tcMar>
          </w:tcPr>
          <w:p w14:paraId="3E441603">
            <w:pPr>
              <w:jc w:val="both"/>
            </w:pPr>
            <w:r>
              <w:rPr>
                <w:rFonts w:ascii="Arial" w:hAnsi="Arial" w:eastAsia="Arial" w:cs="Arial"/>
                <w:b w:val="0"/>
                <w:bCs w:val="0"/>
                <w:sz w:val="20"/>
                <w:szCs w:val="20"/>
              </w:rPr>
              <w:t>~19.85</w:t>
            </w:r>
          </w:p>
        </w:tc>
        <w:tc>
          <w:tcPr>
            <w:tcW w:w="1715" w:type="dxa"/>
            <w:tcBorders>
              <w:top w:val="single" w:color="CCCCCC" w:sz="0" w:space="0"/>
              <w:left w:val="single" w:color="CCCCCC" w:sz="0" w:space="0"/>
              <w:bottom w:val="single" w:color="CCCCCC" w:sz="0" w:space="0"/>
              <w:right w:val="single" w:color="CCCCCC" w:sz="0" w:space="0"/>
            </w:tcBorders>
            <w:shd w:val="clear" w:color="auto" w:fill="EBF4FF"/>
            <w:tcMar>
              <w:top w:w="80" w:type="dxa"/>
              <w:left w:w="120" w:type="dxa"/>
              <w:bottom w:w="80" w:type="dxa"/>
              <w:right w:w="120" w:type="dxa"/>
            </w:tcMar>
          </w:tcPr>
          <w:p w14:paraId="12B0D082">
            <w:pPr>
              <w:jc w:val="both"/>
            </w:pPr>
            <w:r>
              <w:rPr>
                <w:rFonts w:ascii="Arial" w:hAnsi="Arial" w:eastAsia="Arial" w:cs="Arial"/>
                <w:b w:val="0"/>
                <w:bCs w:val="0"/>
                <w:sz w:val="20"/>
                <w:szCs w:val="20"/>
              </w:rPr>
              <w:t>~393.86</w:t>
            </w:r>
          </w:p>
        </w:tc>
        <w:tc>
          <w:tcPr>
            <w:tcW w:w="1715" w:type="dxa"/>
            <w:tcBorders>
              <w:top w:val="single" w:color="CCCCCC" w:sz="0" w:space="0"/>
              <w:left w:val="single" w:color="CCCCCC" w:sz="0" w:space="0"/>
              <w:bottom w:val="single" w:color="CCCCCC" w:sz="0" w:space="0"/>
              <w:right w:val="single" w:color="CCCCCC" w:sz="0" w:space="0"/>
            </w:tcBorders>
            <w:shd w:val="clear" w:color="auto" w:fill="EBF4FF"/>
            <w:tcMar>
              <w:top w:w="80" w:type="dxa"/>
              <w:left w:w="120" w:type="dxa"/>
              <w:bottom w:w="80" w:type="dxa"/>
              <w:right w:w="120" w:type="dxa"/>
            </w:tcMar>
          </w:tcPr>
          <w:p w14:paraId="6C3C1F90">
            <w:pPr>
              <w:jc w:val="both"/>
            </w:pPr>
            <w:r>
              <w:rPr>
                <w:rFonts w:ascii="Arial" w:hAnsi="Arial" w:eastAsia="Arial" w:cs="Arial"/>
                <w:b w:val="0"/>
                <w:bCs w:val="0"/>
                <w:sz w:val="20"/>
                <w:szCs w:val="20"/>
              </w:rPr>
              <w:t>~0.420</w:t>
            </w:r>
          </w:p>
        </w:tc>
      </w:tr>
    </w:tbl>
    <w:p w14:paraId="2E3BCA53">
      <w:pPr>
        <w:spacing w:after="100"/>
        <w:jc w:val="both"/>
      </w:pPr>
    </w:p>
    <w:p w14:paraId="7B379C13">
      <w:pPr>
        <w:spacing w:after="80"/>
        <w:jc w:val="both"/>
      </w:pPr>
      <w:r>
        <w:rPr>
          <w:rFonts w:ascii="Arial" w:hAnsi="Arial" w:eastAsia="Arial" w:cs="Arial"/>
          <w:i/>
          <w:iCs/>
          <w:color w:val="888888"/>
          <w:sz w:val="18"/>
          <w:szCs w:val="18"/>
        </w:rPr>
        <w:t>Note: Gradient Boosting metrics from chart (R² ≈ 0.42); printed output in notebook incorrectly repeated Random Forest values.</w:t>
      </w:r>
    </w:p>
    <w:p w14:paraId="59F73195">
      <w:pPr>
        <w:jc w:val="both"/>
      </w:pPr>
      <w:r>
        <w:br w:type="page"/>
      </w:r>
    </w:p>
    <w:p w14:paraId="0D047A51">
      <w:pPr>
        <w:pStyle w:val="2"/>
        <w:jc w:val="both"/>
        <w:rPr>
          <w:color w:val="auto"/>
        </w:rPr>
      </w:pPr>
      <w:r>
        <w:rPr>
          <w:rFonts w:ascii="Arial" w:hAnsi="Arial" w:eastAsia="Arial" w:cs="Arial"/>
          <w:b/>
          <w:bCs/>
          <w:color w:val="auto"/>
          <w:sz w:val="32"/>
          <w:szCs w:val="32"/>
        </w:rPr>
        <w:t>5. Preliminary Results and Visualizations</w:t>
      </w:r>
    </w:p>
    <w:p w14:paraId="58C6BC43">
      <w:pPr>
        <w:pStyle w:val="3"/>
        <w:jc w:val="both"/>
        <w:rPr>
          <w:rFonts w:ascii="Arial" w:hAnsi="Arial" w:eastAsia="Arial" w:cs="Arial"/>
          <w:b/>
          <w:bCs/>
          <w:color w:val="1F5C8B"/>
          <w:sz w:val="28"/>
          <w:szCs w:val="28"/>
        </w:rPr>
      </w:pPr>
    </w:p>
    <w:p w14:paraId="14FB8ACE">
      <w:pPr>
        <w:pStyle w:val="3"/>
        <w:jc w:val="both"/>
        <w:rPr>
          <w:color w:val="auto"/>
        </w:rPr>
      </w:pPr>
      <w:r>
        <w:rPr>
          <w:rFonts w:ascii="Arial" w:hAnsi="Arial" w:eastAsia="Arial" w:cs="Arial"/>
          <w:b/>
          <w:bCs/>
          <w:color w:val="auto"/>
          <w:sz w:val="28"/>
          <w:szCs w:val="28"/>
        </w:rPr>
        <w:t>5.1 Correlation Heatmap</w:t>
      </w:r>
    </w:p>
    <w:p w14:paraId="6BF4AD33">
      <w:pPr>
        <w:spacing w:after="120"/>
        <w:jc w:val="both"/>
      </w:pPr>
      <w:r>
        <w:rPr>
          <w:rFonts w:ascii="Arial" w:hAnsi="Arial" w:eastAsia="Arial" w:cs="Arial"/>
          <w:color w:val="000000"/>
          <w:sz w:val="22"/>
          <w:szCs w:val="22"/>
        </w:rPr>
        <w:t>The correlation heatmap below reveals the pairwise correlation coefficients between all numerical features. Key observations: Temperature features (T1–T5, T_out) are strongly inter-correlated (0.53–0.68). The 'hour' and 'month' features show moderate positive correlation with 'Appliances' (0.14 and 0.02 respectively). RH_out and T_out show a strong negative correlation (-0.51). Most features have low direct correlation with Appliances, suggesting non-linear relationships.</w:t>
      </w:r>
    </w:p>
    <w:p w14:paraId="3EF1AF9B">
      <w:pPr>
        <w:spacing w:after="100"/>
        <w:jc w:val="both"/>
      </w:pPr>
    </w:p>
    <w:p w14:paraId="0014B605">
      <w:pPr>
        <w:spacing w:after="80"/>
        <w:jc w:val="both"/>
      </w:pPr>
      <w:r>
        <w:drawing>
          <wp:inline distT="0" distB="0" distL="0" distR="0">
            <wp:extent cx="5143500" cy="3429000"/>
            <wp:effectExtent l="0" t="0" r="0" b="0"/>
            <wp:docPr id="1" name="Fig. 2 — Correlation Heatmap of all numerical features" descr="Fig. 2 — Correlation Heatmap of all numerical features" title="Fig. 2 — Correlation Heatmap of all numerical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 2 — Correlation Heatmap of all numerical features" descr="Fig. 2 — Correlation Heatmap of all numerical features" title="Fig. 2 — Correlation Heatmap of all numerical features"/>
                    <pic:cNvPicPr>
                      <a:picLocks noChangeAspect="1" noChangeArrowheads="1"/>
                    </pic:cNvPicPr>
                  </pic:nvPicPr>
                  <pic:blipFill>
                    <a:blip r:embed="rId6"/>
                    <a:srcRect/>
                    <a:stretch>
                      <a:fillRect/>
                    </a:stretch>
                  </pic:blipFill>
                  <pic:spPr>
                    <a:xfrm>
                      <a:off x="0" y="0"/>
                      <a:ext cx="5143500" cy="3429000"/>
                    </a:xfrm>
                    <a:prstGeom prst="rect">
                      <a:avLst/>
                    </a:prstGeom>
                  </pic:spPr>
                </pic:pic>
              </a:graphicData>
            </a:graphic>
          </wp:inline>
        </w:drawing>
      </w:r>
    </w:p>
    <w:p w14:paraId="1BA3F2EE">
      <w:pPr>
        <w:spacing w:after="160"/>
        <w:jc w:val="both"/>
      </w:pPr>
      <w:r>
        <w:rPr>
          <w:rFonts w:ascii="Arial" w:hAnsi="Arial" w:eastAsia="Arial" w:cs="Arial"/>
          <w:i/>
          <w:iCs/>
          <w:color w:val="555555"/>
          <w:sz w:val="18"/>
          <w:szCs w:val="18"/>
        </w:rPr>
        <w:t>Fig. 2 — Correlation Heatmap of all numerical features</w:t>
      </w:r>
    </w:p>
    <w:p w14:paraId="2305B360">
      <w:pPr>
        <w:pStyle w:val="3"/>
        <w:jc w:val="both"/>
        <w:rPr>
          <w:color w:val="auto"/>
        </w:rPr>
      </w:pPr>
      <w:r>
        <w:rPr>
          <w:rFonts w:ascii="Arial" w:hAnsi="Arial" w:eastAsia="Arial" w:cs="Arial"/>
          <w:b/>
          <w:bCs/>
          <w:color w:val="auto"/>
          <w:sz w:val="28"/>
          <w:szCs w:val="28"/>
        </w:rPr>
        <w:t>5.2 Model Comparison — R² Score</w:t>
      </w:r>
    </w:p>
    <w:p w14:paraId="60EA9FDD">
      <w:pPr>
        <w:spacing w:after="120"/>
        <w:jc w:val="both"/>
      </w:pPr>
      <w:r>
        <w:rPr>
          <w:rFonts w:ascii="Arial" w:hAnsi="Arial" w:eastAsia="Arial" w:cs="Arial"/>
          <w:color w:val="000000"/>
          <w:sz w:val="22"/>
          <w:szCs w:val="22"/>
        </w:rPr>
        <w:t>The bar chart below compares the R² Scores of all three models. Random Forest significantly outperforms both Linear Regression and Gradient Boosting, indicating that non-linear ensemble methods are better suited for energy consumption prediction.</w:t>
      </w:r>
    </w:p>
    <w:p w14:paraId="174C3073">
      <w:pPr>
        <w:spacing w:after="100"/>
        <w:jc w:val="both"/>
      </w:pPr>
    </w:p>
    <w:p w14:paraId="5D53AF7D">
      <w:pPr>
        <w:spacing w:after="80"/>
        <w:jc w:val="both"/>
      </w:pPr>
      <w:r>
        <w:drawing>
          <wp:inline distT="0" distB="0" distL="0" distR="0">
            <wp:extent cx="3810000" cy="2667000"/>
            <wp:effectExtent l="0" t="0" r="0" b="0"/>
            <wp:docPr id="2" name="Fig. 3 — Model Comparison: R² Score (Higher is Better)" descr="Fig. 3 — Model Comparison: R² Score (Higher is Better)" title="Fig. 3 — Model Comparison: R² Score (Higher is Be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 3 — Model Comparison: R² Score (Higher is Better)" descr="Fig. 3 — Model Comparison: R² Score (Higher is Better)" title="Fig. 3 — Model Comparison: R² Score (Higher is Better)"/>
                    <pic:cNvPicPr>
                      <a:picLocks noChangeAspect="1" noChangeArrowheads="1"/>
                    </pic:cNvPicPr>
                  </pic:nvPicPr>
                  <pic:blipFill>
                    <a:blip r:embed="rId7"/>
                    <a:srcRect/>
                    <a:stretch>
                      <a:fillRect/>
                    </a:stretch>
                  </pic:blipFill>
                  <pic:spPr>
                    <a:xfrm>
                      <a:off x="0" y="0"/>
                      <a:ext cx="3810000" cy="2667000"/>
                    </a:xfrm>
                    <a:prstGeom prst="rect">
                      <a:avLst/>
                    </a:prstGeom>
                  </pic:spPr>
                </pic:pic>
              </a:graphicData>
            </a:graphic>
          </wp:inline>
        </w:drawing>
      </w:r>
    </w:p>
    <w:p w14:paraId="42F95CAB">
      <w:pPr>
        <w:spacing w:after="160"/>
        <w:jc w:val="both"/>
      </w:pPr>
      <w:r>
        <w:rPr>
          <w:rFonts w:ascii="Arial" w:hAnsi="Arial" w:eastAsia="Arial" w:cs="Arial"/>
          <w:i/>
          <w:iCs/>
          <w:color w:val="555555"/>
          <w:sz w:val="18"/>
          <w:szCs w:val="18"/>
        </w:rPr>
        <w:t>Fig. 3 — Model Comparison: R² Score (Higher is Better)</w:t>
      </w:r>
    </w:p>
    <w:p w14:paraId="57934491">
      <w:pPr>
        <w:pStyle w:val="3"/>
        <w:jc w:val="both"/>
        <w:rPr>
          <w:color w:val="auto"/>
        </w:rPr>
      </w:pPr>
      <w:r>
        <w:rPr>
          <w:rFonts w:ascii="Arial" w:hAnsi="Arial" w:eastAsia="Arial" w:cs="Arial"/>
          <w:b/>
          <w:bCs/>
          <w:color w:val="auto"/>
          <w:sz w:val="28"/>
          <w:szCs w:val="28"/>
        </w:rPr>
        <w:t>5.3 PCA — Cumulative Variance</w:t>
      </w:r>
    </w:p>
    <w:p w14:paraId="025804E2">
      <w:pPr>
        <w:spacing w:after="120"/>
        <w:jc w:val="both"/>
      </w:pPr>
      <w:r>
        <w:rPr>
          <w:rFonts w:ascii="Arial" w:hAnsi="Arial" w:eastAsia="Arial" w:cs="Arial"/>
          <w:color w:val="000000"/>
          <w:sz w:val="22"/>
          <w:szCs w:val="22"/>
        </w:rPr>
        <w:t>The cumulative variance plot shows that 13 principal components are sufficient to capture 95% of the variance in the dataset (shown by the dashed line). This reduces the 19-dimensional feature space to 13 components while retaining nearly all information.</w:t>
      </w:r>
    </w:p>
    <w:p w14:paraId="4B2EBE50">
      <w:pPr>
        <w:spacing w:after="100"/>
        <w:jc w:val="both"/>
      </w:pPr>
    </w:p>
    <w:p w14:paraId="77929B71">
      <w:pPr>
        <w:spacing w:after="80"/>
        <w:jc w:val="both"/>
      </w:pPr>
      <w:r>
        <w:drawing>
          <wp:inline distT="0" distB="0" distL="0" distR="0">
            <wp:extent cx="3810000" cy="2667000"/>
            <wp:effectExtent l="0" t="0" r="0" b="0"/>
            <wp:docPr id="3" name="Fig. 4 — Cumulative Variance vs. Number of PCA Components" descr="Fig. 4 — Cumulative Variance vs. Number of PCA Components" title="Fig. 4 — Cumulative Variance vs. Number of PCA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 4 — Cumulative Variance vs. Number of PCA Components" descr="Fig. 4 — Cumulative Variance vs. Number of PCA Components" title="Fig. 4 — Cumulative Variance vs. Number of PCA Components"/>
                    <pic:cNvPicPr>
                      <a:picLocks noChangeAspect="1" noChangeArrowheads="1"/>
                    </pic:cNvPicPr>
                  </pic:nvPicPr>
                  <pic:blipFill>
                    <a:blip r:embed="rId8"/>
                    <a:srcRect/>
                    <a:stretch>
                      <a:fillRect/>
                    </a:stretch>
                  </pic:blipFill>
                  <pic:spPr>
                    <a:xfrm>
                      <a:off x="0" y="0"/>
                      <a:ext cx="3810000" cy="2667000"/>
                    </a:xfrm>
                    <a:prstGeom prst="rect">
                      <a:avLst/>
                    </a:prstGeom>
                  </pic:spPr>
                </pic:pic>
              </a:graphicData>
            </a:graphic>
          </wp:inline>
        </w:drawing>
      </w:r>
    </w:p>
    <w:p w14:paraId="77DC3373">
      <w:pPr>
        <w:spacing w:after="160"/>
        <w:jc w:val="both"/>
      </w:pPr>
      <w:r>
        <w:rPr>
          <w:rFonts w:ascii="Arial" w:hAnsi="Arial" w:eastAsia="Arial" w:cs="Arial"/>
          <w:i/>
          <w:iCs/>
          <w:color w:val="555555"/>
          <w:sz w:val="18"/>
          <w:szCs w:val="18"/>
        </w:rPr>
        <w:t>Fig. 4 — Cumulative Variance vs. Number of PCA Components</w:t>
      </w:r>
    </w:p>
    <w:p w14:paraId="2CC959BE">
      <w:pPr>
        <w:pStyle w:val="3"/>
        <w:jc w:val="both"/>
        <w:rPr>
          <w:rFonts w:ascii="Arial" w:hAnsi="Arial" w:eastAsia="Arial" w:cs="Arial"/>
          <w:b/>
          <w:bCs/>
          <w:color w:val="1F5C8B"/>
          <w:sz w:val="28"/>
          <w:szCs w:val="28"/>
        </w:rPr>
      </w:pPr>
    </w:p>
    <w:p w14:paraId="20B02499">
      <w:pPr>
        <w:pStyle w:val="3"/>
        <w:jc w:val="both"/>
        <w:rPr>
          <w:rFonts w:ascii="Arial" w:hAnsi="Arial" w:eastAsia="Arial" w:cs="Arial"/>
          <w:b/>
          <w:bCs/>
          <w:color w:val="1F5C8B"/>
          <w:sz w:val="28"/>
          <w:szCs w:val="28"/>
        </w:rPr>
      </w:pPr>
    </w:p>
    <w:p w14:paraId="10189DEF">
      <w:pPr>
        <w:pStyle w:val="3"/>
        <w:jc w:val="both"/>
        <w:rPr>
          <w:rFonts w:ascii="Arial" w:hAnsi="Arial" w:eastAsia="Arial" w:cs="Arial"/>
          <w:b/>
          <w:bCs/>
          <w:color w:val="1F5C8B"/>
          <w:sz w:val="28"/>
          <w:szCs w:val="28"/>
        </w:rPr>
      </w:pPr>
    </w:p>
    <w:p w14:paraId="0B972CCE">
      <w:pPr>
        <w:pStyle w:val="3"/>
        <w:jc w:val="both"/>
        <w:rPr>
          <w:color w:val="auto"/>
        </w:rPr>
      </w:pPr>
      <w:r>
        <w:rPr>
          <w:rFonts w:ascii="Arial" w:hAnsi="Arial" w:eastAsia="Arial" w:cs="Arial"/>
          <w:b/>
          <w:bCs/>
          <w:color w:val="auto"/>
          <w:sz w:val="28"/>
          <w:szCs w:val="28"/>
        </w:rPr>
        <w:t>5.4 PCA — First 2 Principal Components (Scatter Plot)</w:t>
      </w:r>
    </w:p>
    <w:p w14:paraId="5022CA5E">
      <w:pPr>
        <w:spacing w:after="120"/>
        <w:jc w:val="both"/>
      </w:pPr>
      <w:r>
        <w:rPr>
          <w:rFonts w:ascii="Arial" w:hAnsi="Arial" w:eastAsia="Arial" w:cs="Arial"/>
          <w:color w:val="000000"/>
          <w:sz w:val="22"/>
          <w:szCs w:val="22"/>
        </w:rPr>
        <w:t>The scatter plot of the first two principal components (PC1 vs PC2) after applying PCA shows the data distribution in the reduced 2D space. The roughly elliptical, dense cluster indicates no obvious class separation, which is consistent with a continuous regression target.</w:t>
      </w:r>
    </w:p>
    <w:p w14:paraId="689A05A3">
      <w:pPr>
        <w:spacing w:after="100"/>
        <w:jc w:val="both"/>
      </w:pPr>
    </w:p>
    <w:p w14:paraId="447EBDC1">
      <w:pPr>
        <w:spacing w:after="80"/>
        <w:jc w:val="both"/>
      </w:pPr>
      <w:r>
        <w:drawing>
          <wp:inline distT="0" distB="0" distL="0" distR="0">
            <wp:extent cx="3429000" cy="2667000"/>
            <wp:effectExtent l="0" t="0" r="0" b="0"/>
            <wp:docPr id="4" name="Fig. 5 — Data after PCA (First 2 Principal Components)" descr="Fig. 5 — Data after PCA (First 2 Principal Components)" title="Fig. 5 — Data after PCA (First 2 Principal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 5 — Data after PCA (First 2 Principal Components)" descr="Fig. 5 — Data after PCA (First 2 Principal Components)" title="Fig. 5 — Data after PCA (First 2 Principal Components)"/>
                    <pic:cNvPicPr>
                      <a:picLocks noChangeAspect="1" noChangeArrowheads="1"/>
                    </pic:cNvPicPr>
                  </pic:nvPicPr>
                  <pic:blipFill>
                    <a:blip r:embed="rId9"/>
                    <a:srcRect/>
                    <a:stretch>
                      <a:fillRect/>
                    </a:stretch>
                  </pic:blipFill>
                  <pic:spPr>
                    <a:xfrm>
                      <a:off x="0" y="0"/>
                      <a:ext cx="3429000" cy="2667000"/>
                    </a:xfrm>
                    <a:prstGeom prst="rect">
                      <a:avLst/>
                    </a:prstGeom>
                  </pic:spPr>
                </pic:pic>
              </a:graphicData>
            </a:graphic>
          </wp:inline>
        </w:drawing>
      </w:r>
    </w:p>
    <w:p w14:paraId="786FE94A">
      <w:pPr>
        <w:spacing w:after="160"/>
        <w:jc w:val="both"/>
      </w:pPr>
      <w:r>
        <w:rPr>
          <w:rFonts w:ascii="Arial" w:hAnsi="Arial" w:eastAsia="Arial" w:cs="Arial"/>
          <w:i/>
          <w:iCs/>
          <w:color w:val="555555"/>
          <w:sz w:val="18"/>
          <w:szCs w:val="18"/>
        </w:rPr>
        <w:t>Fig. 5 — Data after PCA (First 2 Principal Components)</w:t>
      </w:r>
    </w:p>
    <w:p w14:paraId="76F3AA5D">
      <w:pPr>
        <w:pStyle w:val="3"/>
        <w:jc w:val="both"/>
        <w:rPr>
          <w:rFonts w:ascii="Arial" w:hAnsi="Arial" w:eastAsia="Arial" w:cs="Arial"/>
          <w:b/>
          <w:bCs/>
          <w:color w:val="1F5C8B"/>
          <w:sz w:val="28"/>
          <w:szCs w:val="28"/>
        </w:rPr>
      </w:pPr>
    </w:p>
    <w:p w14:paraId="25819368">
      <w:pPr>
        <w:pStyle w:val="3"/>
        <w:jc w:val="both"/>
        <w:rPr>
          <w:color w:val="auto"/>
        </w:rPr>
      </w:pPr>
      <w:r>
        <w:rPr>
          <w:rFonts w:ascii="Arial" w:hAnsi="Arial" w:eastAsia="Arial" w:cs="Arial"/>
          <w:b/>
          <w:bCs/>
          <w:color w:val="auto"/>
          <w:sz w:val="28"/>
          <w:szCs w:val="28"/>
        </w:rPr>
        <w:t>5.5 Boxplots After Outlier Removal</w:t>
      </w:r>
    </w:p>
    <w:p w14:paraId="68134122">
      <w:pPr>
        <w:spacing w:after="120"/>
        <w:jc w:val="both"/>
      </w:pPr>
      <w:r>
        <w:rPr>
          <w:rFonts w:ascii="Arial" w:hAnsi="Arial" w:eastAsia="Arial" w:cs="Arial"/>
          <w:color w:val="000000"/>
          <w:sz w:val="22"/>
          <w:szCs w:val="22"/>
        </w:rPr>
        <w:t>The boxplots below for key features (Appliances, lights, T1, T_out, Windspeed) show the data distribution after IQR-based outlier removal. Outlier removal reduced the dataset from 13,572 to 8,014 rows. The distributions are now more compact, and extreme outliers have been significantly reduced.</w:t>
      </w:r>
    </w:p>
    <w:p w14:paraId="22DD8272">
      <w:pPr>
        <w:spacing w:after="100"/>
        <w:jc w:val="both"/>
      </w:pPr>
    </w:p>
    <w:p w14:paraId="409FBCC7">
      <w:pPr>
        <w:spacing w:after="80"/>
        <w:jc w:val="both"/>
      </w:pPr>
      <w:r>
        <w:drawing>
          <wp:inline distT="0" distB="0" distL="0" distR="0">
            <wp:extent cx="4953000" cy="1905000"/>
            <wp:effectExtent l="0" t="0" r="0" b="0"/>
            <wp:docPr id="5" name="Fig. 6 — Boxplots of Key Features AFTER Outlier Removal" descr="Fig. 6 — Boxplots of Key Features AFTER Outlier Removal" title="Fig. 6 — Boxplots of Key Features AFTER Outlier Rem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 6 — Boxplots of Key Features AFTER Outlier Removal" descr="Fig. 6 — Boxplots of Key Features AFTER Outlier Removal" title="Fig. 6 — Boxplots of Key Features AFTER Outlier Removal"/>
                    <pic:cNvPicPr>
                      <a:picLocks noChangeAspect="1" noChangeArrowheads="1"/>
                    </pic:cNvPicPr>
                  </pic:nvPicPr>
                  <pic:blipFill>
                    <a:blip r:embed="rId10"/>
                    <a:srcRect/>
                    <a:stretch>
                      <a:fillRect/>
                    </a:stretch>
                  </pic:blipFill>
                  <pic:spPr>
                    <a:xfrm>
                      <a:off x="0" y="0"/>
                      <a:ext cx="4953000" cy="1905000"/>
                    </a:xfrm>
                    <a:prstGeom prst="rect">
                      <a:avLst/>
                    </a:prstGeom>
                  </pic:spPr>
                </pic:pic>
              </a:graphicData>
            </a:graphic>
          </wp:inline>
        </w:drawing>
      </w:r>
    </w:p>
    <w:p w14:paraId="1500D971">
      <w:pPr>
        <w:spacing w:after="160"/>
        <w:jc w:val="both"/>
      </w:pPr>
      <w:r>
        <w:rPr>
          <w:rFonts w:ascii="Arial" w:hAnsi="Arial" w:eastAsia="Arial" w:cs="Arial"/>
          <w:i/>
          <w:iCs/>
          <w:color w:val="555555"/>
          <w:sz w:val="18"/>
          <w:szCs w:val="18"/>
        </w:rPr>
        <w:t>Fig. 6 — Boxplots of Key Features AFTER Outlier Removal</w:t>
      </w:r>
    </w:p>
    <w:p w14:paraId="33F09FE9">
      <w:pPr>
        <w:jc w:val="both"/>
      </w:pPr>
      <w:r>
        <w:br w:type="page"/>
      </w:r>
    </w:p>
    <w:p w14:paraId="3DEDC1AE">
      <w:pPr>
        <w:pStyle w:val="2"/>
        <w:jc w:val="both"/>
        <w:rPr>
          <w:color w:val="auto"/>
        </w:rPr>
      </w:pPr>
      <w:r>
        <w:rPr>
          <w:rFonts w:ascii="Arial" w:hAnsi="Arial" w:eastAsia="Arial" w:cs="Arial"/>
          <w:b/>
          <w:bCs/>
          <w:color w:val="auto"/>
          <w:sz w:val="32"/>
          <w:szCs w:val="32"/>
        </w:rPr>
        <w:t>6. References</w:t>
      </w:r>
    </w:p>
    <w:p w14:paraId="4A629FB8">
      <w:pPr>
        <w:spacing w:after="100"/>
        <w:jc w:val="both"/>
        <w:rPr>
          <w:rFonts w:ascii="Arial" w:hAnsi="Arial" w:eastAsia="Arial" w:cs="Arial"/>
          <w:b/>
          <w:bCs/>
          <w:sz w:val="22"/>
          <w:szCs w:val="22"/>
        </w:rPr>
      </w:pPr>
    </w:p>
    <w:p w14:paraId="04CBC1A2">
      <w:pPr>
        <w:spacing w:after="100"/>
        <w:jc w:val="both"/>
      </w:pPr>
      <w:r>
        <w:rPr>
          <w:rFonts w:ascii="Arial" w:hAnsi="Arial" w:eastAsia="Arial" w:cs="Arial"/>
          <w:b/>
          <w:bCs/>
          <w:sz w:val="22"/>
          <w:szCs w:val="22"/>
        </w:rPr>
        <w:t>Books:</w:t>
      </w:r>
    </w:p>
    <w:p w14:paraId="5165BE93">
      <w:pPr>
        <w:pStyle w:val="18"/>
        <w:numPr>
          <w:ilvl w:val="0"/>
          <w:numId w:val="3"/>
        </w:numPr>
        <w:spacing w:after="80"/>
        <w:jc w:val="both"/>
      </w:pPr>
      <w:r>
        <w:rPr>
          <w:rFonts w:ascii="Arial" w:hAnsi="Arial" w:eastAsia="Arial" w:cs="Arial"/>
          <w:sz w:val="22"/>
          <w:szCs w:val="22"/>
        </w:rPr>
        <w:t>Hands-On Machine Learning with Scikit-Learn, Keras, and TensorFlow – Aurélien Géron</w:t>
      </w:r>
    </w:p>
    <w:p w14:paraId="3BA7B584">
      <w:pPr>
        <w:pStyle w:val="18"/>
        <w:numPr>
          <w:ilvl w:val="0"/>
          <w:numId w:val="3"/>
        </w:numPr>
        <w:spacing w:after="80"/>
        <w:jc w:val="both"/>
      </w:pPr>
      <w:r>
        <w:rPr>
          <w:rFonts w:ascii="Arial" w:hAnsi="Arial" w:eastAsia="Arial" w:cs="Arial"/>
          <w:sz w:val="22"/>
          <w:szCs w:val="22"/>
        </w:rPr>
        <w:t>Introduction to Machine Learning with Python – Andreas Müller &amp; Sarah Guido</w:t>
      </w:r>
    </w:p>
    <w:p w14:paraId="387C1F93">
      <w:pPr>
        <w:spacing w:after="100"/>
        <w:jc w:val="both"/>
      </w:pPr>
    </w:p>
    <w:p w14:paraId="469F0A34">
      <w:pPr>
        <w:spacing w:after="100"/>
        <w:jc w:val="both"/>
      </w:pPr>
      <w:r>
        <w:rPr>
          <w:rFonts w:ascii="Arial" w:hAnsi="Arial" w:eastAsia="Arial" w:cs="Arial"/>
          <w:b/>
          <w:bCs/>
          <w:sz w:val="22"/>
          <w:szCs w:val="22"/>
        </w:rPr>
        <w:t>Online Resources:</w:t>
      </w:r>
    </w:p>
    <w:p w14:paraId="6C71EFF1">
      <w:pPr>
        <w:pStyle w:val="18"/>
        <w:numPr>
          <w:ilvl w:val="0"/>
          <w:numId w:val="3"/>
        </w:numPr>
        <w:spacing w:after="80"/>
        <w:jc w:val="both"/>
      </w:pPr>
      <w:r>
        <w:rPr>
          <w:rFonts w:ascii="Arial" w:hAnsi="Arial" w:eastAsia="Arial" w:cs="Arial"/>
          <w:sz w:val="22"/>
          <w:szCs w:val="22"/>
        </w:rPr>
        <w:t>Scikit-learn Documentation — https://scikit-learn.org/stable/</w:t>
      </w:r>
    </w:p>
    <w:p w14:paraId="70A4A7C5">
      <w:pPr>
        <w:pStyle w:val="18"/>
        <w:numPr>
          <w:ilvl w:val="0"/>
          <w:numId w:val="3"/>
        </w:numPr>
        <w:spacing w:after="80"/>
        <w:jc w:val="both"/>
      </w:pPr>
      <w:r>
        <w:rPr>
          <w:rFonts w:ascii="Arial" w:hAnsi="Arial" w:eastAsia="Arial" w:cs="Arial"/>
          <w:sz w:val="22"/>
          <w:szCs w:val="22"/>
        </w:rPr>
        <w:t>GeeksforGeeks — https://www.geeksforgeeks.org/</w:t>
      </w:r>
    </w:p>
    <w:p w14:paraId="3AF16DE9">
      <w:pPr>
        <w:pStyle w:val="18"/>
        <w:numPr>
          <w:ilvl w:val="0"/>
          <w:numId w:val="3"/>
        </w:numPr>
        <w:spacing w:after="80"/>
        <w:jc w:val="both"/>
      </w:pPr>
      <w:r>
        <w:rPr>
          <w:rFonts w:ascii="Arial" w:hAnsi="Arial" w:eastAsia="Arial" w:cs="Arial"/>
          <w:sz w:val="22"/>
          <w:szCs w:val="22"/>
        </w:rPr>
        <w:t>TutorialsPoint — https://www.tutorialspoint.com/</w:t>
      </w:r>
    </w:p>
    <w:p w14:paraId="0F16FB1C">
      <w:pPr>
        <w:pStyle w:val="18"/>
        <w:numPr>
          <w:ilvl w:val="0"/>
          <w:numId w:val="3"/>
        </w:numPr>
        <w:spacing w:after="80"/>
        <w:jc w:val="both"/>
      </w:pPr>
      <w:r>
        <w:rPr>
          <w:rFonts w:ascii="Arial" w:hAnsi="Arial" w:eastAsia="Arial" w:cs="Arial"/>
          <w:sz w:val="22"/>
          <w:szCs w:val="22"/>
        </w:rPr>
        <w:t>Stack Overflow — https://stackoverflow.com</w:t>
      </w:r>
    </w:p>
    <w:p w14:paraId="12CD744A">
      <w:pPr>
        <w:pStyle w:val="18"/>
        <w:numPr>
          <w:ilvl w:val="0"/>
          <w:numId w:val="3"/>
        </w:numPr>
        <w:spacing w:after="80"/>
        <w:jc w:val="both"/>
      </w:pPr>
      <w:r>
        <w:rPr>
          <w:rFonts w:ascii="Arial" w:hAnsi="Arial" w:eastAsia="Arial" w:cs="Arial"/>
          <w:sz w:val="22"/>
          <w:szCs w:val="22"/>
        </w:rPr>
        <w:t>Kaggle Dataset — Energy Usage Dataset (energy_usage.csv)</w:t>
      </w:r>
    </w:p>
    <w:sectPr>
      <w:pgSz w:w="12240" w:h="15840"/>
      <w:pgMar w:top="1440" w:right="180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Bookman Old Style">
    <w:panose1 w:val="02050604050505020204"/>
    <w:charset w:val="00"/>
    <w:family w:val="auto"/>
    <w:pitch w:val="default"/>
    <w:sig w:usb0="00000287" w:usb1="00000000" w:usb2="00000000" w:usb3="00000000" w:csb0="2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D07DF8"/>
    <w:multiLevelType w:val="singleLevel"/>
    <w:tmpl w:val="BDD07DF8"/>
    <w:lvl w:ilvl="0" w:tentative="0">
      <w:start w:val="1"/>
      <w:numFmt w:val="bullet"/>
      <w:lvlText w:val="•"/>
      <w:lvlJc w:val="left"/>
      <w:pPr>
        <w:ind w:left="720" w:hanging="360"/>
      </w:pPr>
    </w:lvl>
  </w:abstractNum>
  <w:abstractNum w:abstractNumId="1">
    <w:nsid w:val="DD6788F5"/>
    <w:multiLevelType w:val="singleLevel"/>
    <w:tmpl w:val="DD6788F5"/>
    <w:lvl w:ilvl="0" w:tentative="0">
      <w:start w:val="3"/>
      <w:numFmt w:val="decimal"/>
      <w:suff w:val="space"/>
      <w:lvlText w:val="%1."/>
      <w:lvlJc w:val="left"/>
    </w:lvl>
  </w:abstractNum>
  <w:abstractNum w:abstractNumId="2">
    <w:nsid w:val="5E4C5617"/>
    <w:multiLevelType w:val="multilevel"/>
    <w:tmpl w:val="5E4C5617"/>
    <w:lvl w:ilvl="0" w:tentative="0">
      <w:start w:val="1"/>
      <w:numFmt w:val="decimal"/>
      <w:lvlText w:val="%1."/>
      <w:lvlJc w:val="left"/>
      <w:pPr>
        <w:ind w:left="1027"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1"/>
      <w:numFmt w:val="decimal"/>
      <w:lvlText w:val="%1.%2."/>
      <w:lvlJc w:val="left"/>
      <w:pPr>
        <w:ind w:left="1387" w:hanging="360"/>
        <w:jc w:val="left"/>
      </w:pPr>
      <w:rPr>
        <w:rFonts w:hint="default" w:ascii="Times New Roman" w:hAnsi="Times New Roman" w:eastAsia="Times New Roman" w:cs="Times New Roman"/>
        <w:b/>
        <w:bCs/>
        <w:i w:val="0"/>
        <w:iCs w:val="0"/>
        <w:spacing w:val="0"/>
        <w:w w:val="100"/>
        <w:sz w:val="22"/>
        <w:szCs w:val="22"/>
        <w:lang w:val="en-US" w:eastAsia="en-US" w:bidi="ar-SA"/>
      </w:rPr>
    </w:lvl>
    <w:lvl w:ilvl="2" w:tentative="0">
      <w:start w:val="0"/>
      <w:numFmt w:val="bullet"/>
      <w:lvlText w:val="•"/>
      <w:lvlJc w:val="left"/>
      <w:pPr>
        <w:ind w:left="1440" w:hanging="360"/>
      </w:pPr>
      <w:rPr>
        <w:rFonts w:hint="default"/>
        <w:lang w:val="en-US" w:eastAsia="en-US" w:bidi="ar-SA"/>
      </w:rPr>
    </w:lvl>
    <w:lvl w:ilvl="3" w:tentative="0">
      <w:start w:val="0"/>
      <w:numFmt w:val="bullet"/>
      <w:lvlText w:val="•"/>
      <w:lvlJc w:val="left"/>
      <w:pPr>
        <w:ind w:left="2502" w:hanging="360"/>
      </w:pPr>
      <w:rPr>
        <w:rFonts w:hint="default"/>
        <w:lang w:val="en-US" w:eastAsia="en-US" w:bidi="ar-SA"/>
      </w:rPr>
    </w:lvl>
    <w:lvl w:ilvl="4" w:tentative="0">
      <w:start w:val="0"/>
      <w:numFmt w:val="bullet"/>
      <w:lvlText w:val="•"/>
      <w:lvlJc w:val="left"/>
      <w:pPr>
        <w:ind w:left="3564" w:hanging="360"/>
      </w:pPr>
      <w:rPr>
        <w:rFonts w:hint="default"/>
        <w:lang w:val="en-US" w:eastAsia="en-US" w:bidi="ar-SA"/>
      </w:rPr>
    </w:lvl>
    <w:lvl w:ilvl="5" w:tentative="0">
      <w:start w:val="0"/>
      <w:numFmt w:val="bullet"/>
      <w:lvlText w:val="•"/>
      <w:lvlJc w:val="left"/>
      <w:pPr>
        <w:ind w:left="4626" w:hanging="360"/>
      </w:pPr>
      <w:rPr>
        <w:rFonts w:hint="default"/>
        <w:lang w:val="en-US" w:eastAsia="en-US" w:bidi="ar-SA"/>
      </w:rPr>
    </w:lvl>
    <w:lvl w:ilvl="6" w:tentative="0">
      <w:start w:val="0"/>
      <w:numFmt w:val="bullet"/>
      <w:lvlText w:val="•"/>
      <w:lvlJc w:val="left"/>
      <w:pPr>
        <w:ind w:left="5688" w:hanging="360"/>
      </w:pPr>
      <w:rPr>
        <w:rFonts w:hint="default"/>
        <w:lang w:val="en-US" w:eastAsia="en-US" w:bidi="ar-SA"/>
      </w:rPr>
    </w:lvl>
    <w:lvl w:ilvl="7" w:tentative="0">
      <w:start w:val="0"/>
      <w:numFmt w:val="bullet"/>
      <w:lvlText w:val="•"/>
      <w:lvlJc w:val="left"/>
      <w:pPr>
        <w:ind w:left="6750" w:hanging="360"/>
      </w:pPr>
      <w:rPr>
        <w:rFonts w:hint="default"/>
        <w:lang w:val="en-US" w:eastAsia="en-US" w:bidi="ar-SA"/>
      </w:rPr>
    </w:lvl>
    <w:lvl w:ilvl="8" w:tentative="0">
      <w:start w:val="0"/>
      <w:numFmt w:val="bullet"/>
      <w:lvlText w:val="•"/>
      <w:lvlJc w:val="left"/>
      <w:pPr>
        <w:ind w:left="7812" w:hanging="360"/>
      </w:pPr>
      <w:rPr>
        <w:rFonts w:hint="default"/>
        <w:lang w:val="en-US" w:eastAsia="en-US" w:bidi="ar-SA"/>
      </w:rPr>
    </w:lvl>
  </w:abstractNum>
  <w:num w:numId="1">
    <w:abstractNumId w:val="2"/>
  </w:num>
  <w:num w:numId="2">
    <w:abstractNumId w:val="1"/>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2"/>
  <w:displayBackgroundShape w:val="1"/>
  <w:documentProtection w:enforcement="0"/>
  <w:compat>
    <w:compatSetting w:name="compatibilityMode" w:uri="http://schemas.microsoft.com/office/word" w:val="15"/>
  </w:compat>
  <w:rsids>
    <w:rsidRoot w:val="00000000"/>
    <w:rsid w:val="02063FE0"/>
    <w:rsid w:val="1609218C"/>
    <w:rsid w:val="1E465EB0"/>
    <w:rsid w:val="47A02B8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00" w:after="200"/>
      <w:outlineLvl w:val="0"/>
    </w:pPr>
    <w:rPr>
      <w:rFonts w:ascii="Arial" w:hAnsi="Arial" w:eastAsia="Arial" w:cs="Arial"/>
      <w:b/>
      <w:bCs/>
      <w:color w:val="2E75B6"/>
      <w:sz w:val="32"/>
      <w:szCs w:val="32"/>
    </w:rPr>
  </w:style>
  <w:style w:type="paragraph" w:styleId="3">
    <w:name w:val="heading 2"/>
    <w:next w:val="1"/>
    <w:qFormat/>
    <w:uiPriority w:val="0"/>
    <w:pPr>
      <w:spacing w:before="200" w:after="160"/>
      <w:outlineLvl w:val="1"/>
    </w:pPr>
    <w:rPr>
      <w:rFonts w:ascii="Arial" w:hAnsi="Arial" w:eastAsia="Arial" w:cs="Arial"/>
      <w:b/>
      <w:bCs/>
      <w:color w:val="1F5C8B"/>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Arial" w:hAnsi="Arial" w:eastAsia="Arial" w:cs="Arial"/>
      <w:sz w:val="20"/>
      <w:szCs w:val="20"/>
    </w:rPr>
  </w:style>
  <w:style w:type="paragraph" w:styleId="12">
    <w:name w:val="footer"/>
    <w:basedOn w:val="1"/>
    <w:qFormat/>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19"/>
    <w:semiHidden/>
    <w:unhideWhenUsed/>
    <w:qFormat/>
    <w:uiPriority w:val="99"/>
    <w:pPr>
      <w:spacing w:after="0" w:line="240" w:lineRule="auto"/>
    </w:pPr>
    <w:rPr>
      <w:rFonts w:ascii="Arial" w:hAnsi="Arial" w:eastAsia="Arial" w:cs="Arial"/>
      <w:sz w:val="20"/>
      <w:szCs w:val="20"/>
    </w:rPr>
  </w:style>
  <w:style w:type="paragraph" w:styleId="15">
    <w:name w:val="header"/>
    <w:basedOn w:val="1"/>
    <w:qFormat/>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paragraph" w:styleId="17">
    <w:name w:val="Title"/>
    <w:qFormat/>
    <w:uiPriority w:val="0"/>
    <w:rPr>
      <w:rFonts w:ascii="Arial" w:hAnsi="Arial" w:eastAsia="Arial" w:cs="Arial"/>
      <w:sz w:val="56"/>
      <w:szCs w:val="56"/>
    </w:rPr>
  </w:style>
  <w:style w:type="paragraph" w:styleId="18">
    <w:name w:val="List Paragraph"/>
    <w:basedOn w:val="1"/>
    <w:qFormat/>
    <w:uiPriority w:val="0"/>
    <w:rPr>
      <w:rFonts w:ascii="Arial" w:hAnsi="Arial" w:eastAsia="Arial" w:cs="Arial"/>
      <w:sz w:val="22"/>
      <w:szCs w:val="22"/>
    </w:rPr>
  </w:style>
  <w:style w:type="character" w:customStyle="1" w:styleId="19">
    <w:name w:val="Footnote Text Char"/>
    <w:link w:val="14"/>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1098</Words>
  <Characters>6374</Characters>
  <TotalTime>9</TotalTime>
  <ScaleCrop>false</ScaleCrop>
  <LinksUpToDate>false</LinksUpToDate>
  <CharactersWithSpaces>7391</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2026-04-30T04:08:00Z</dcterms:created>
  <dc:creator>Un-named</dc:creator>
  <cp:lastModifiedBy>Devil Himself</cp:lastModifiedBy>
  <dcterms:modified xsi:type="dcterms:W3CDTF">2026-05-12T15:13:20Z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eyJoZGlkIjoiOGNiNWRjY2Y4OWJiMjFkMzMzZTI3NWE0YThmMGYxMTgiLCJ1c2VySWQiOiI1Njc2NjMwNjk1ODUifQ==</vt:lpwstr>
  </property>
  <property fmtid="{D5CDD505-2E9C-101B-9397-08002B2CF9AE}" pid="3" name="KSOProductBuildVer">
    <vt:lpwstr>1033-12.1.0.26372</vt:lpwstr>
  </property>
  <property fmtid="{D5CDD505-2E9C-101B-9397-08002B2CF9AE}" pid="4" name="ICV">
    <vt:lpwstr>ED5A6D11DFE549038550FDA0979A32FA_13</vt:lpwstr>
  </property>
</Properties>
</file>