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B7071">
      <w:pPr>
        <w:spacing w:before="120" w:after="120" w:line="238" w:lineRule="auto"/>
        <w:jc w:val="center"/>
        <w:rPr>
          <w:rFonts w:ascii="Bookman Old Style" w:hAnsi="Bookman Old Style" w:eastAsia="Bookman Old Style" w:cs="Bookman Old Style"/>
          <w:b/>
          <w:sz w:val="32"/>
          <w:szCs w:val="32"/>
        </w:rPr>
      </w:pPr>
      <w:r>
        <w:drawing>
          <wp:anchor distT="0" distB="0" distL="0" distR="0" simplePos="0" relativeHeight="251660288" behindDoc="1" locked="0" layoutInCell="1" allowOverlap="1">
            <wp:simplePos x="0" y="0"/>
            <wp:positionH relativeFrom="column">
              <wp:posOffset>-87630</wp:posOffset>
            </wp:positionH>
            <wp:positionV relativeFrom="paragraph">
              <wp:posOffset>323850</wp:posOffset>
            </wp:positionV>
            <wp:extent cx="5871845" cy="101600"/>
            <wp:effectExtent l="0" t="0" r="10795" b="5080"/>
            <wp:wrapNone/>
            <wp:docPr id="11" name="image2.jpg"/>
            <wp:cNvGraphicFramePr/>
            <a:graphic xmlns:a="http://schemas.openxmlformats.org/drawingml/2006/main">
              <a:graphicData uri="http://schemas.openxmlformats.org/drawingml/2006/picture">
                <pic:pic xmlns:pic="http://schemas.openxmlformats.org/drawingml/2006/picture">
                  <pic:nvPicPr>
                    <pic:cNvPr id="11" name="image2.jpg"/>
                    <pic:cNvPicPr preferRelativeResize="0"/>
                  </pic:nvPicPr>
                  <pic:blipFill>
                    <a:blip r:embed="rId4"/>
                    <a:srcRect/>
                    <a:stretch>
                      <a:fillRect/>
                    </a:stretch>
                  </pic:blipFill>
                  <pic:spPr>
                    <a:xfrm>
                      <a:off x="0" y="0"/>
                      <a:ext cx="5871845" cy="101600"/>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-77470</wp:posOffset>
            </wp:positionH>
            <wp:positionV relativeFrom="paragraph">
              <wp:posOffset>-27305</wp:posOffset>
            </wp:positionV>
            <wp:extent cx="5871845" cy="101600"/>
            <wp:effectExtent l="0" t="0" r="10795" b="5080"/>
            <wp:wrapNone/>
            <wp:docPr id="10" name="image2.jpg"/>
            <wp:cNvGraphicFramePr/>
            <a:graphic xmlns:a="http://schemas.openxmlformats.org/drawingml/2006/main">
              <a:graphicData uri="http://schemas.openxmlformats.org/drawingml/2006/picture">
                <pic:pic xmlns:pic="http://schemas.openxmlformats.org/drawingml/2006/picture">
                  <pic:nvPicPr>
                    <pic:cNvPr id="10" name="image2.jpg"/>
                    <pic:cNvPicPr preferRelativeResize="0"/>
                  </pic:nvPicPr>
                  <pic:blipFill>
                    <a:blip r:embed="rId4"/>
                    <a:srcRect/>
                    <a:stretch>
                      <a:fillRect/>
                    </a:stretch>
                  </pic:blipFill>
                  <pic:spPr>
                    <a:xfrm>
                      <a:off x="0" y="0"/>
                      <a:ext cx="5871845" cy="101600"/>
                    </a:xfrm>
                    <a:prstGeom prst="rect">
                      <a:avLst/>
                    </a:prstGeom>
                  </pic:spPr>
                </pic:pic>
              </a:graphicData>
            </a:graphic>
          </wp:anchor>
        </w:drawing>
      </w:r>
      <w:r>
        <w:rPr>
          <w:rFonts w:ascii="Bookman Old Style" w:hAnsi="Bookman Old Style" w:eastAsia="Bookman Old Style" w:cs="Bookman Old Style"/>
          <w:b/>
          <w:sz w:val="32"/>
          <w:szCs w:val="32"/>
        </w:rPr>
        <w:t>Institutional Energy Usage Prediction</w:t>
      </w:r>
    </w:p>
    <w:p w14:paraId="4B6579A4">
      <w:pPr>
        <w:spacing w:after="100"/>
        <w:jc w:val="both"/>
      </w:pPr>
    </w:p>
    <w:p w14:paraId="0EF85EAD">
      <w:pPr>
        <w:spacing w:after="60"/>
        <w:jc w:val="center"/>
        <w:rPr>
          <w:b/>
          <w:bCs/>
          <w:color w:val="333333"/>
          <w:sz w:val="24"/>
          <w:szCs w:val="24"/>
        </w:rPr>
      </w:pPr>
    </w:p>
    <w:p w14:paraId="6954BB02">
      <w:pPr>
        <w:spacing w:after="60"/>
        <w:jc w:val="center"/>
        <w:rPr>
          <w:rFonts w:ascii="Times New Roman" w:hAnsi="Times New Roman" w:cs="Times New Roman"/>
          <w:lang w:val="en-US"/>
        </w:rPr>
      </w:pPr>
      <w:r>
        <w:rPr>
          <w:rFonts w:ascii="Times New Roman" w:hAnsi="Times New Roman" w:cs="Times New Roman"/>
          <w:b/>
          <w:bCs/>
          <w:color w:val="333333"/>
          <w:sz w:val="24"/>
          <w:szCs w:val="24"/>
        </w:rPr>
        <w:t>P</w:t>
      </w:r>
      <w:r>
        <w:rPr>
          <w:rFonts w:ascii="Times New Roman" w:hAnsi="Times New Roman" w:cs="Times New Roman"/>
          <w:b/>
          <w:bCs/>
          <w:color w:val="333333"/>
          <w:sz w:val="24"/>
          <w:szCs w:val="24"/>
          <w:lang w:val="en-US"/>
        </w:rPr>
        <w:t>ROJECT</w:t>
      </w:r>
      <w:r>
        <w:rPr>
          <w:rFonts w:ascii="Times New Roman" w:hAnsi="Times New Roman" w:cs="Times New Roman"/>
          <w:b/>
          <w:bCs/>
          <w:color w:val="333333"/>
          <w:sz w:val="24"/>
          <w:szCs w:val="24"/>
        </w:rPr>
        <w:t xml:space="preserve"> I</w:t>
      </w:r>
      <w:r>
        <w:rPr>
          <w:rFonts w:ascii="Times New Roman" w:hAnsi="Times New Roman" w:cs="Times New Roman"/>
          <w:b/>
          <w:bCs/>
          <w:color w:val="333333"/>
          <w:sz w:val="24"/>
          <w:szCs w:val="24"/>
          <w:lang w:val="en-US"/>
        </w:rPr>
        <w:t>D</w:t>
      </w:r>
      <w:r>
        <w:rPr>
          <w:rFonts w:ascii="Times New Roman" w:hAnsi="Times New Roman" w:cs="Times New Roman"/>
          <w:b/>
          <w:bCs/>
          <w:color w:val="333333"/>
          <w:sz w:val="24"/>
          <w:szCs w:val="24"/>
        </w:rPr>
        <w:t>: AIML</w:t>
      </w:r>
      <w:r>
        <w:rPr>
          <w:rFonts w:ascii="Times New Roman" w:hAnsi="Times New Roman" w:cs="Times New Roman"/>
          <w:b/>
          <w:bCs/>
          <w:color w:val="333333"/>
          <w:sz w:val="24"/>
          <w:szCs w:val="24"/>
          <w:lang w:val="en-US"/>
        </w:rPr>
        <w:t>-23</w:t>
      </w:r>
    </w:p>
    <w:p w14:paraId="7297235A">
      <w:pPr>
        <w:spacing w:after="120"/>
        <w:jc w:val="center"/>
      </w:pPr>
    </w:p>
    <w:p w14:paraId="2B34158E">
      <w:pPr>
        <w:spacing w:after="80"/>
        <w:jc w:val="center"/>
      </w:pPr>
      <w:r>
        <w:rPr>
          <w:b/>
          <w:bCs/>
          <w:sz w:val="24"/>
          <w:szCs w:val="24"/>
          <w:lang w:val="en-US"/>
        </w:rPr>
        <w:t>Name : SARTHAK PANWAR</w:t>
      </w:r>
      <w:r>
        <w:rPr>
          <w:b/>
          <w:bCs/>
          <w:sz w:val="24"/>
          <w:szCs w:val="24"/>
        </w:rPr>
        <w:t>(Team Leader)</w:t>
      </w:r>
    </w:p>
    <w:p w14:paraId="082BA4C2">
      <w:pPr>
        <w:spacing w:after="60"/>
        <w:jc w:val="center"/>
        <w:rPr>
          <w:lang w:val="en-US"/>
        </w:rPr>
      </w:pPr>
      <w:r>
        <w:t>Class Roll Number</w:t>
      </w:r>
      <w:r>
        <w:rPr>
          <w:lang w:val="en-US"/>
        </w:rPr>
        <w:t xml:space="preserve"> </w:t>
      </w:r>
      <w:r>
        <w:t>:</w:t>
      </w:r>
      <w:r>
        <w:rPr>
          <w:lang w:val="en-US"/>
        </w:rPr>
        <w:t xml:space="preserve"> 59</w:t>
      </w:r>
    </w:p>
    <w:p w14:paraId="0D5C547C">
      <w:pPr>
        <w:spacing w:after="60"/>
        <w:jc w:val="center"/>
        <w:rPr>
          <w:lang w:val="en-US"/>
        </w:rPr>
      </w:pPr>
      <w:r>
        <w:t>University Roll Number</w:t>
      </w:r>
      <w:r>
        <w:rPr>
          <w:lang w:val="en-US"/>
        </w:rPr>
        <w:t xml:space="preserve"> </w:t>
      </w:r>
      <w:r>
        <w:t>:</w:t>
      </w:r>
      <w:r>
        <w:rPr>
          <w:lang w:val="en-US"/>
        </w:rPr>
        <w:t xml:space="preserve"> 2028841</w:t>
      </w:r>
    </w:p>
    <w:p w14:paraId="2A21E0C1">
      <w:pPr>
        <w:spacing w:after="120"/>
        <w:jc w:val="center"/>
        <w:rPr>
          <w:lang w:val="en-US"/>
        </w:rPr>
      </w:pPr>
      <w:r>
        <w:t>Section and Group</w:t>
      </w:r>
      <w:r>
        <w:rPr>
          <w:lang w:val="en-US"/>
        </w:rPr>
        <w:t xml:space="preserve"> </w:t>
      </w:r>
      <w:r>
        <w:t>:</w:t>
      </w:r>
      <w:r>
        <w:rPr>
          <w:lang w:val="en-US"/>
        </w:rPr>
        <w:t xml:space="preserve"> U G2</w:t>
      </w:r>
    </w:p>
    <w:p w14:paraId="70B81F6E">
      <w:pPr>
        <w:spacing w:after="120"/>
        <w:jc w:val="center"/>
        <w:rPr>
          <w:lang w:val="en-US"/>
        </w:rPr>
      </w:pPr>
    </w:p>
    <w:p w14:paraId="629ABE90">
      <w:pPr>
        <w:spacing w:after="80"/>
        <w:jc w:val="center"/>
        <w:rPr>
          <w:lang w:val="en-US"/>
        </w:rPr>
      </w:pPr>
      <w:r>
        <w:rPr>
          <w:b/>
          <w:bCs/>
          <w:sz w:val="24"/>
          <w:szCs w:val="24"/>
        </w:rPr>
        <w:t xml:space="preserve">Name: </w:t>
      </w:r>
      <w:r>
        <w:rPr>
          <w:b/>
          <w:bCs/>
          <w:sz w:val="24"/>
          <w:szCs w:val="24"/>
          <w:lang w:val="en-US"/>
        </w:rPr>
        <w:t>JATIN BOHRA</w:t>
      </w:r>
    </w:p>
    <w:p w14:paraId="658D810A">
      <w:pPr>
        <w:spacing w:after="60"/>
        <w:jc w:val="center"/>
        <w:rPr>
          <w:lang w:val="en-US"/>
        </w:rPr>
      </w:pPr>
      <w:r>
        <w:t>Class Roll Number</w:t>
      </w:r>
      <w:r>
        <w:rPr>
          <w:lang w:val="en-US"/>
        </w:rPr>
        <w:t xml:space="preserve"> </w:t>
      </w:r>
      <w:r>
        <w:t>:</w:t>
      </w:r>
      <w:r>
        <w:rPr>
          <w:lang w:val="en-US"/>
        </w:rPr>
        <w:t xml:space="preserve"> 42</w:t>
      </w:r>
    </w:p>
    <w:p w14:paraId="009C379A">
      <w:pPr>
        <w:spacing w:after="60"/>
        <w:jc w:val="center"/>
        <w:rPr>
          <w:lang w:val="en-US"/>
        </w:rPr>
      </w:pPr>
      <w:r>
        <w:t>University Roll Number</w:t>
      </w:r>
      <w:r>
        <w:rPr>
          <w:lang w:val="en-US"/>
        </w:rPr>
        <w:t xml:space="preserve"> </w:t>
      </w:r>
      <w:r>
        <w:t>:</w:t>
      </w:r>
      <w:r>
        <w:rPr>
          <w:lang w:val="en-US"/>
        </w:rPr>
        <w:t xml:space="preserve"> 2028733</w:t>
      </w:r>
    </w:p>
    <w:p w14:paraId="040DAFB1">
      <w:pPr>
        <w:spacing w:after="120"/>
        <w:jc w:val="center"/>
        <w:rPr>
          <w:lang w:val="en-US"/>
        </w:rPr>
      </w:pPr>
      <w:r>
        <w:t>Section and Group</w:t>
      </w:r>
      <w:r>
        <w:rPr>
          <w:lang w:val="en-US"/>
        </w:rPr>
        <w:t xml:space="preserve"> </w:t>
      </w:r>
      <w:r>
        <w:t>:</w:t>
      </w:r>
      <w:r>
        <w:rPr>
          <w:lang w:val="en-US"/>
        </w:rPr>
        <w:t xml:space="preserve"> U G2</w:t>
      </w:r>
    </w:p>
    <w:p w14:paraId="1C19DB3E">
      <w:pPr>
        <w:spacing w:after="120"/>
        <w:jc w:val="center"/>
        <w:rPr>
          <w:lang w:val="en-US"/>
        </w:rPr>
      </w:pPr>
    </w:p>
    <w:p w14:paraId="26FC9281">
      <w:pPr>
        <w:spacing w:after="80"/>
        <w:jc w:val="center"/>
        <w:rPr>
          <w:lang w:val="en-US"/>
        </w:rPr>
      </w:pPr>
      <w:r>
        <w:rPr>
          <w:b/>
          <w:bCs/>
          <w:sz w:val="24"/>
          <w:szCs w:val="24"/>
        </w:rPr>
        <w:t xml:space="preserve">Name: </w:t>
      </w:r>
      <w:r>
        <w:rPr>
          <w:b/>
          <w:bCs/>
          <w:sz w:val="24"/>
          <w:szCs w:val="24"/>
          <w:lang w:val="en-US"/>
        </w:rPr>
        <w:t>DEVANSHU NEGI</w:t>
      </w:r>
    </w:p>
    <w:p w14:paraId="428D2329">
      <w:pPr>
        <w:spacing w:after="60"/>
        <w:jc w:val="center"/>
        <w:rPr>
          <w:lang w:val="en-US"/>
        </w:rPr>
      </w:pPr>
      <w:r>
        <w:t>Class Roll Number</w:t>
      </w:r>
      <w:r>
        <w:rPr>
          <w:lang w:val="en-US"/>
        </w:rPr>
        <w:t xml:space="preserve"> </w:t>
      </w:r>
      <w:r>
        <w:t>:</w:t>
      </w:r>
      <w:r>
        <w:rPr>
          <w:lang w:val="en-US"/>
        </w:rPr>
        <w:t xml:space="preserve"> 37</w:t>
      </w:r>
    </w:p>
    <w:p w14:paraId="3B8AB83F">
      <w:pPr>
        <w:spacing w:after="60"/>
        <w:jc w:val="center"/>
        <w:rPr>
          <w:lang w:val="en-US"/>
        </w:rPr>
      </w:pPr>
      <w:r>
        <w:t>University Roll Number</w:t>
      </w:r>
      <w:r>
        <w:rPr>
          <w:lang w:val="en-US"/>
        </w:rPr>
        <w:t xml:space="preserve"> </w:t>
      </w:r>
      <w:r>
        <w:t>:</w:t>
      </w:r>
      <w:r>
        <w:rPr>
          <w:lang w:val="en-US"/>
        </w:rPr>
        <w:t xml:space="preserve"> 2028704</w:t>
      </w:r>
    </w:p>
    <w:p w14:paraId="53CB0AAC">
      <w:pPr>
        <w:jc w:val="center"/>
      </w:pPr>
      <w:r>
        <w:t>Section and Group</w:t>
      </w:r>
      <w:r>
        <w:rPr>
          <w:lang w:val="en-US"/>
        </w:rPr>
        <w:t xml:space="preserve"> </w:t>
      </w:r>
      <w:r>
        <w:t>:</w:t>
      </w:r>
      <w:r>
        <w:rPr>
          <w:lang w:val="en-US"/>
        </w:rPr>
        <w:t xml:space="preserve"> U G2</w:t>
      </w:r>
    </w:p>
    <w:p w14:paraId="2F6554C2">
      <w:pPr>
        <w:jc w:val="center"/>
      </w:pPr>
      <w:r>
        <w:br w:type="page"/>
      </w:r>
    </w:p>
    <w:p w14:paraId="5D715C02">
      <w:pPr>
        <w:spacing w:after="240"/>
        <w:jc w:val="center"/>
      </w:pPr>
      <w:r>
        <w:rPr>
          <w:b/>
          <w:bCs/>
          <w:color w:val="1F4E79"/>
          <w:sz w:val="32"/>
          <w:szCs w:val="32"/>
        </w:rPr>
        <w:t>TABLE OF CONTENTS</w:t>
      </w:r>
    </w:p>
    <w:p w14:paraId="7B93D2B1">
      <w:pPr>
        <w:tabs>
          <w:tab w:val="right" w:pos="8640"/>
        </w:tabs>
        <w:spacing w:after="80"/>
        <w:jc w:val="both"/>
      </w:pPr>
    </w:p>
    <w:p w14:paraId="01F2A557">
      <w:pPr>
        <w:tabs>
          <w:tab w:val="right" w:pos="8640"/>
        </w:tabs>
        <w:spacing w:after="80"/>
        <w:jc w:val="both"/>
      </w:pPr>
    </w:p>
    <w:p w14:paraId="2A1DCE3C">
      <w:pPr>
        <w:tabs>
          <w:tab w:val="right" w:pos="8640"/>
        </w:tabs>
        <w:spacing w:after="80"/>
        <w:jc w:val="both"/>
      </w:pPr>
      <w:r>
        <w:t>1.  Problem Description</w:t>
      </w:r>
      <w:r>
        <w:tab/>
      </w:r>
      <w:r>
        <w:t>3</w:t>
      </w:r>
    </w:p>
    <w:p w14:paraId="547D9AD4">
      <w:pPr>
        <w:tabs>
          <w:tab w:val="right" w:pos="8640"/>
        </w:tabs>
        <w:spacing w:after="80"/>
        <w:jc w:val="both"/>
      </w:pPr>
      <w:r>
        <w:t xml:space="preserve">    1.1  Dataset Description</w:t>
      </w:r>
      <w:r>
        <w:tab/>
      </w:r>
      <w:r>
        <w:t>3</w:t>
      </w:r>
    </w:p>
    <w:p w14:paraId="71A99858">
      <w:pPr>
        <w:tabs>
          <w:tab w:val="right" w:pos="8640"/>
        </w:tabs>
        <w:spacing w:after="80"/>
        <w:jc w:val="both"/>
      </w:pPr>
      <w:r>
        <w:t xml:space="preserve">    1.2  Flow Diagram</w:t>
      </w:r>
      <w:r>
        <w:tab/>
      </w:r>
      <w:r>
        <w:t>4</w:t>
      </w:r>
    </w:p>
    <w:p w14:paraId="1246664D">
      <w:pPr>
        <w:tabs>
          <w:tab w:val="right" w:pos="8640"/>
        </w:tabs>
        <w:spacing w:after="80"/>
        <w:jc w:val="both"/>
      </w:pPr>
      <w:r>
        <w:t>2.  Modules for Project Implementation</w:t>
      </w:r>
      <w:r>
        <w:tab/>
      </w:r>
      <w:r>
        <w:t>5</w:t>
      </w:r>
    </w:p>
    <w:p w14:paraId="31CF550A">
      <w:pPr>
        <w:tabs>
          <w:tab w:val="right" w:pos="8640"/>
        </w:tabs>
        <w:spacing w:after="80"/>
        <w:jc w:val="both"/>
      </w:pPr>
      <w:r>
        <w:t xml:space="preserve">    2.1  Modules Used</w:t>
      </w:r>
      <w:r>
        <w:tab/>
      </w:r>
      <w:r>
        <w:t>5</w:t>
      </w:r>
    </w:p>
    <w:p w14:paraId="79FE3BE4">
      <w:pPr>
        <w:tabs>
          <w:tab w:val="right" w:pos="8640"/>
        </w:tabs>
        <w:spacing w:after="80"/>
        <w:jc w:val="both"/>
      </w:pPr>
      <w:r>
        <w:t xml:space="preserve">    2.2  Platform Used</w:t>
      </w:r>
      <w:r>
        <w:tab/>
      </w:r>
      <w:r>
        <w:t>6</w:t>
      </w:r>
    </w:p>
    <w:p w14:paraId="294CA32C">
      <w:pPr>
        <w:tabs>
          <w:tab w:val="right" w:pos="8640"/>
        </w:tabs>
        <w:spacing w:after="80"/>
        <w:jc w:val="both"/>
      </w:pPr>
      <w:r>
        <w:t>3.  Machine Learning Models Used</w:t>
      </w:r>
      <w:r>
        <w:tab/>
      </w:r>
      <w:r>
        <w:t>7</w:t>
      </w:r>
    </w:p>
    <w:p w14:paraId="7C1CA6DF">
      <w:pPr>
        <w:tabs>
          <w:tab w:val="right" w:pos="8640"/>
        </w:tabs>
        <w:spacing w:after="80"/>
        <w:jc w:val="both"/>
      </w:pPr>
      <w:r>
        <w:t>4.  Evaluation Metrics Used</w:t>
      </w:r>
      <w:r>
        <w:tab/>
      </w:r>
      <w:r>
        <w:t>8</w:t>
      </w:r>
    </w:p>
    <w:p w14:paraId="723ABBAF">
      <w:pPr>
        <w:tabs>
          <w:tab w:val="right" w:pos="8640"/>
        </w:tabs>
        <w:spacing w:after="80"/>
        <w:jc w:val="both"/>
      </w:pPr>
      <w:r>
        <w:t>5.  Results and Visualizations</w:t>
      </w:r>
      <w:r>
        <w:tab/>
      </w:r>
      <w:r>
        <w:t>9</w:t>
      </w:r>
    </w:p>
    <w:p w14:paraId="523F2062">
      <w:pPr>
        <w:tabs>
          <w:tab w:val="right" w:pos="8640"/>
        </w:tabs>
        <w:spacing w:after="80"/>
        <w:jc w:val="both"/>
      </w:pPr>
      <w:r>
        <w:t>6.  Conclusion and Future Scope</w:t>
      </w:r>
      <w:r>
        <w:tab/>
      </w:r>
      <w:r>
        <w:t>11</w:t>
      </w:r>
    </w:p>
    <w:p w14:paraId="5ACA3A86">
      <w:pPr>
        <w:tabs>
          <w:tab w:val="right" w:pos="8640"/>
        </w:tabs>
        <w:spacing w:after="80"/>
        <w:jc w:val="both"/>
      </w:pPr>
      <w:r>
        <w:t>7.  References</w:t>
      </w:r>
      <w:r>
        <w:tab/>
      </w:r>
      <w:r>
        <w:t>12</w:t>
      </w:r>
    </w:p>
    <w:p w14:paraId="1B34083D">
      <w:pPr>
        <w:jc w:val="both"/>
      </w:pPr>
      <w:r>
        <w:br w:type="page"/>
      </w:r>
      <w:bookmarkStart w:id="0" w:name="_GoBack"/>
      <w:bookmarkEnd w:id="0"/>
    </w:p>
    <w:p w14:paraId="362CD2AB">
      <w:pPr>
        <w:pStyle w:val="2"/>
        <w:spacing w:before="280" w:after="160"/>
        <w:jc w:val="both"/>
        <w:rPr>
          <w:color w:val="auto"/>
        </w:rPr>
      </w:pPr>
      <w:r>
        <w:rPr>
          <w:color w:val="auto"/>
        </w:rPr>
        <w:t>1.  Problem Description</w:t>
      </w:r>
    </w:p>
    <w:p w14:paraId="709AC109">
      <w:pPr>
        <w:spacing w:after="120"/>
        <w:jc w:val="both"/>
      </w:pPr>
    </w:p>
    <w:p w14:paraId="7BEC6B14">
      <w:pPr>
        <w:spacing w:after="120"/>
        <w:jc w:val="both"/>
      </w:pPr>
      <w:r>
        <w:t>The Energy Usage Prediction System is a Python-based end-to-end machine learning regression project designed to analyze and predict appliance energy consumption in an institutional/residential setting. The project streamlines the complete workflow of data ingestion, exploratory analysis, preprocessing, feature selection, model training, and evaluation.</w:t>
      </w:r>
    </w:p>
    <w:p w14:paraId="37D4E55D">
      <w:pPr>
        <w:spacing w:after="60"/>
        <w:jc w:val="both"/>
      </w:pPr>
    </w:p>
    <w:p w14:paraId="7D6FE770">
      <w:pPr>
        <w:spacing w:after="120"/>
        <w:jc w:val="both"/>
      </w:pPr>
      <w:r>
        <w:t>Using core concepts of Machine Learning — data preprocessing, feature selection, ensemble regression algorithms, model evaluation, and visualization — this project predicts appliance energy usage (in Wh) from environmental and temporal sensor readings. It minimizes manual effort in identifying energy consumption patterns and supports data-driven energy management decisions.</w:t>
      </w:r>
    </w:p>
    <w:p w14:paraId="490EBEE7">
      <w:pPr>
        <w:spacing w:after="60"/>
        <w:jc w:val="both"/>
      </w:pPr>
    </w:p>
    <w:p w14:paraId="55BE90A3">
      <w:pPr>
        <w:spacing w:after="120"/>
        <w:jc w:val="both"/>
      </w:pPr>
      <w:r>
        <w:t>The target variable is 'Appliances' (energy consumption in Wh). Independent features include indoor temperatures (T1–T5), relative humidity values (RH_1–RH_5), outdoor temperature (T_out), outdoor humidity (RH_out), atmospheric pressure (Press_mm_hg), Windspeed, Visibility, Tdewpoint, hour, and month — totalling 19 features across 14,000 timestamped records.</w:t>
      </w:r>
    </w:p>
    <w:p w14:paraId="0ABFAC90">
      <w:pPr>
        <w:spacing w:after="80"/>
        <w:jc w:val="both"/>
      </w:pPr>
    </w:p>
    <w:p w14:paraId="764BC0A3">
      <w:pPr>
        <w:pStyle w:val="3"/>
        <w:spacing w:after="120"/>
        <w:jc w:val="both"/>
        <w:rPr>
          <w:color w:val="auto"/>
        </w:rPr>
      </w:pPr>
      <w:r>
        <w:rPr>
          <w:color w:val="auto"/>
        </w:rPr>
        <w:t>1.1  Dataset Description</w:t>
      </w:r>
    </w:p>
    <w:p w14:paraId="532A337C">
      <w:pPr>
        <w:spacing w:after="120"/>
        <w:jc w:val="both"/>
      </w:pPr>
      <w:r>
        <w:t>The dataset used is energy_usage.csv — a real-world IoT sensor dataset collected from a low-energy house. It contains 14,000 records at 10-minute intervals with 19 numerical features plus a datetime column.</w:t>
      </w:r>
    </w:p>
    <w:p w14:paraId="15060912">
      <w:pPr>
        <w:spacing w:after="8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1CD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E75B6" w:sz="0" w:space="0"/>
              <w:left w:val="single" w:color="2E75B6" w:sz="0" w:space="0"/>
              <w:bottom w:val="single" w:color="2E75B6" w:sz="0" w:space="0"/>
              <w:right w:val="single" w:color="2E75B6" w:sz="0" w:space="0"/>
            </w:tcBorders>
            <w:shd w:val="clear" w:color="auto" w:fill="2E75B6"/>
            <w:tcMar>
              <w:top w:w="90" w:type="dxa"/>
              <w:left w:w="120" w:type="dxa"/>
              <w:bottom w:w="90" w:type="dxa"/>
              <w:right w:w="120" w:type="dxa"/>
            </w:tcMar>
          </w:tcPr>
          <w:p w14:paraId="2396B608">
            <w:pPr>
              <w:jc w:val="both"/>
            </w:pPr>
            <w:r>
              <w:rPr>
                <w:b/>
                <w:bCs/>
                <w:color w:val="FFFFFF"/>
                <w:sz w:val="20"/>
                <w:szCs w:val="20"/>
              </w:rPr>
              <w:t>Attribute</w:t>
            </w:r>
          </w:p>
        </w:tc>
        <w:tc>
          <w:tcPr>
            <w:tcW w:w="6560" w:type="dxa"/>
            <w:tcBorders>
              <w:top w:val="single" w:color="2E75B6" w:sz="0" w:space="0"/>
              <w:left w:val="single" w:color="2E75B6" w:sz="0" w:space="0"/>
              <w:bottom w:val="single" w:color="2E75B6" w:sz="0" w:space="0"/>
              <w:right w:val="single" w:color="2E75B6" w:sz="0" w:space="0"/>
            </w:tcBorders>
            <w:shd w:val="clear" w:color="auto" w:fill="2E75B6"/>
            <w:tcMar>
              <w:top w:w="90" w:type="dxa"/>
              <w:left w:w="120" w:type="dxa"/>
              <w:bottom w:w="90" w:type="dxa"/>
              <w:right w:w="120" w:type="dxa"/>
            </w:tcMar>
          </w:tcPr>
          <w:p w14:paraId="67D2171D">
            <w:pPr>
              <w:jc w:val="both"/>
            </w:pPr>
            <w:r>
              <w:rPr>
                <w:b/>
                <w:bCs/>
                <w:color w:val="FFFFFF"/>
                <w:sz w:val="20"/>
                <w:szCs w:val="20"/>
              </w:rPr>
              <w:t>Detail</w:t>
            </w:r>
          </w:p>
        </w:tc>
      </w:tr>
      <w:tr w14:paraId="48DF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46D7C07C">
            <w:pPr>
              <w:jc w:val="both"/>
            </w:pPr>
            <w:r>
              <w:rPr>
                <w:b/>
                <w:bCs/>
                <w:sz w:val="20"/>
                <w:szCs w:val="20"/>
              </w:rPr>
              <w:t>Total Records</w:t>
            </w:r>
          </w:p>
        </w:tc>
        <w:tc>
          <w:tcPr>
            <w:tcW w:w="656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5E003435">
            <w:pPr>
              <w:jc w:val="both"/>
            </w:pPr>
            <w:r>
              <w:rPr>
                <w:sz w:val="20"/>
                <w:szCs w:val="20"/>
              </w:rPr>
              <w:t>14,000 (timestamped at 10-minute intervals)</w:t>
            </w:r>
          </w:p>
        </w:tc>
      </w:tr>
      <w:tr w14:paraId="5257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49EDCAA3">
            <w:pPr>
              <w:jc w:val="both"/>
            </w:pPr>
            <w:r>
              <w:rPr>
                <w:b/>
                <w:bCs/>
                <w:sz w:val="20"/>
                <w:szCs w:val="20"/>
              </w:rPr>
              <w:t>Total Features</w:t>
            </w:r>
          </w:p>
        </w:tc>
        <w:tc>
          <w:tcPr>
            <w:tcW w:w="656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4283B8DD">
            <w:pPr>
              <w:jc w:val="both"/>
            </w:pPr>
            <w:r>
              <w:rPr>
                <w:sz w:val="20"/>
                <w:szCs w:val="20"/>
              </w:rPr>
              <w:t>19 numerical + 1 datetime (date)</w:t>
            </w:r>
          </w:p>
        </w:tc>
      </w:tr>
      <w:tr w14:paraId="5627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0E7EE5CD">
            <w:pPr>
              <w:jc w:val="both"/>
            </w:pPr>
            <w:r>
              <w:rPr>
                <w:b/>
                <w:bCs/>
                <w:sz w:val="20"/>
                <w:szCs w:val="20"/>
              </w:rPr>
              <w:t>Target Variable</w:t>
            </w:r>
          </w:p>
        </w:tc>
        <w:tc>
          <w:tcPr>
            <w:tcW w:w="656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354293A9">
            <w:pPr>
              <w:jc w:val="both"/>
            </w:pPr>
            <w:r>
              <w:rPr>
                <w:sz w:val="20"/>
                <w:szCs w:val="20"/>
              </w:rPr>
              <w:t>Appliances — energy consumption in Wh</w:t>
            </w:r>
          </w:p>
        </w:tc>
      </w:tr>
      <w:tr w14:paraId="12D3E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4332E43A">
            <w:pPr>
              <w:jc w:val="both"/>
            </w:pPr>
            <w:r>
              <w:rPr>
                <w:b/>
                <w:bCs/>
                <w:sz w:val="20"/>
                <w:szCs w:val="20"/>
              </w:rPr>
              <w:t>Temperature Features</w:t>
            </w:r>
          </w:p>
        </w:tc>
        <w:tc>
          <w:tcPr>
            <w:tcW w:w="656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126A4B35">
            <w:pPr>
              <w:jc w:val="both"/>
            </w:pPr>
            <w:r>
              <w:rPr>
                <w:sz w:val="20"/>
                <w:szCs w:val="20"/>
              </w:rPr>
              <w:t>T1, T2, T3, T4, T5 (room temps), T_out (outdoor)</w:t>
            </w:r>
          </w:p>
        </w:tc>
      </w:tr>
      <w:tr w14:paraId="4FBE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65EB4D92">
            <w:pPr>
              <w:jc w:val="both"/>
            </w:pPr>
            <w:r>
              <w:rPr>
                <w:b/>
                <w:bCs/>
                <w:sz w:val="20"/>
                <w:szCs w:val="20"/>
              </w:rPr>
              <w:t>Humidity Features</w:t>
            </w:r>
          </w:p>
        </w:tc>
        <w:tc>
          <w:tcPr>
            <w:tcW w:w="656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0F0BB8D4">
            <w:pPr>
              <w:jc w:val="both"/>
            </w:pPr>
            <w:r>
              <w:rPr>
                <w:sz w:val="20"/>
                <w:szCs w:val="20"/>
              </w:rPr>
              <w:t>RH_1, RH_2, RH_3, RH_4, RH_5, RH_out</w:t>
            </w:r>
          </w:p>
        </w:tc>
      </w:tr>
      <w:tr w14:paraId="5859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51D83251">
            <w:pPr>
              <w:jc w:val="both"/>
            </w:pPr>
            <w:r>
              <w:rPr>
                <w:b/>
                <w:bCs/>
                <w:sz w:val="20"/>
                <w:szCs w:val="20"/>
              </w:rPr>
              <w:t>Weather Features</w:t>
            </w:r>
          </w:p>
        </w:tc>
        <w:tc>
          <w:tcPr>
            <w:tcW w:w="656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6E0F3460">
            <w:pPr>
              <w:jc w:val="both"/>
            </w:pPr>
            <w:r>
              <w:rPr>
                <w:sz w:val="20"/>
                <w:szCs w:val="20"/>
              </w:rPr>
              <w:t>Press_mm_hg, Windspeed, Visibility, Tdewpoint</w:t>
            </w:r>
          </w:p>
        </w:tc>
      </w:tr>
      <w:tr w14:paraId="7439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7195F834">
            <w:pPr>
              <w:jc w:val="both"/>
            </w:pPr>
            <w:r>
              <w:rPr>
                <w:b/>
                <w:bCs/>
                <w:sz w:val="20"/>
                <w:szCs w:val="20"/>
              </w:rPr>
              <w:t>Temporal Features</w:t>
            </w:r>
          </w:p>
        </w:tc>
        <w:tc>
          <w:tcPr>
            <w:tcW w:w="656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215FD349">
            <w:pPr>
              <w:jc w:val="both"/>
            </w:pPr>
            <w:r>
              <w:rPr>
                <w:sz w:val="20"/>
                <w:szCs w:val="20"/>
              </w:rPr>
              <w:t>hour (0–23), month (1–12) extracted from date</w:t>
            </w:r>
          </w:p>
        </w:tc>
      </w:tr>
      <w:tr w14:paraId="2C6F9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57A54BC9">
            <w:pPr>
              <w:jc w:val="both"/>
            </w:pPr>
            <w:r>
              <w:rPr>
                <w:b/>
                <w:bCs/>
                <w:sz w:val="20"/>
                <w:szCs w:val="20"/>
              </w:rPr>
              <w:t>Missing Values</w:t>
            </w:r>
          </w:p>
        </w:tc>
        <w:tc>
          <w:tcPr>
            <w:tcW w:w="656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7B59506F">
            <w:pPr>
              <w:jc w:val="both"/>
            </w:pPr>
            <w:r>
              <w:rPr>
                <w:sz w:val="20"/>
                <w:szCs w:val="20"/>
              </w:rPr>
              <w:t>Detected in all columns; imputed using mean/median</w:t>
            </w:r>
          </w:p>
        </w:tc>
      </w:tr>
      <w:tr w14:paraId="1DC5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507A80E5">
            <w:pPr>
              <w:jc w:val="both"/>
            </w:pPr>
            <w:r>
              <w:rPr>
                <w:b/>
                <w:bCs/>
                <w:sz w:val="20"/>
                <w:szCs w:val="20"/>
              </w:rPr>
              <w:t>Duplicate Rows</w:t>
            </w:r>
          </w:p>
        </w:tc>
        <w:tc>
          <w:tcPr>
            <w:tcW w:w="656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06AFB526">
            <w:pPr>
              <w:jc w:val="both"/>
            </w:pPr>
            <w:r>
              <w:rPr>
                <w:sz w:val="20"/>
                <w:szCs w:val="20"/>
              </w:rPr>
              <w:t>14 duplicates removed</w:t>
            </w:r>
          </w:p>
        </w:tc>
      </w:tr>
      <w:tr w14:paraId="6760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31209565">
            <w:pPr>
              <w:jc w:val="both"/>
            </w:pPr>
            <w:r>
              <w:rPr>
                <w:b/>
                <w:bCs/>
                <w:sz w:val="20"/>
                <w:szCs w:val="20"/>
              </w:rPr>
              <w:t>After Outlier Removal</w:t>
            </w:r>
          </w:p>
        </w:tc>
        <w:tc>
          <w:tcPr>
            <w:tcW w:w="656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4A101E21">
            <w:pPr>
              <w:jc w:val="both"/>
            </w:pPr>
            <w:r>
              <w:rPr>
                <w:sz w:val="20"/>
                <w:szCs w:val="20"/>
              </w:rPr>
              <w:t>8,014 clean records retained (IQR method)</w:t>
            </w:r>
          </w:p>
        </w:tc>
      </w:tr>
    </w:tbl>
    <w:p w14:paraId="04F473C9">
      <w:pPr>
        <w:spacing w:after="80"/>
        <w:jc w:val="both"/>
      </w:pPr>
    </w:p>
    <w:p w14:paraId="310A90E1">
      <w:pPr>
        <w:jc w:val="both"/>
      </w:pPr>
      <w:r>
        <w:br w:type="page"/>
      </w:r>
    </w:p>
    <w:p w14:paraId="7D64DDAD">
      <w:pPr>
        <w:pStyle w:val="3"/>
        <w:spacing w:after="120"/>
        <w:jc w:val="both"/>
        <w:rPr>
          <w:color w:val="auto"/>
        </w:rPr>
      </w:pPr>
      <w:r>
        <w:rPr>
          <w:color w:val="auto"/>
        </w:rPr>
        <w:t>1.2  Flow Diagram</w:t>
      </w:r>
    </w:p>
    <w:p w14:paraId="2199432A">
      <w:pPr>
        <w:spacing w:after="120"/>
        <w:jc w:val="both"/>
      </w:pPr>
      <w:r>
        <w:t>The diagram below illustrates the complete end-to-end pipeline from raw data collection to trained model deployment.</w:t>
      </w:r>
    </w:p>
    <w:p w14:paraId="0FB26BEA">
      <w:pPr>
        <w:spacing w:after="80"/>
        <w:jc w:val="both"/>
      </w:pPr>
    </w:p>
    <w:p w14:paraId="4F40E9BB">
      <w:pPr>
        <w:jc w:val="both"/>
      </w:pPr>
      <w:r>
        <w:drawing>
          <wp:inline distT="0" distB="0" distL="0" distR="0">
            <wp:extent cx="3818890" cy="5724525"/>
            <wp:effectExtent l="0" t="0" r="0" b="9525"/>
            <wp:docPr id="20" name="drawing"/>
            <wp:cNvGraphicFramePr/>
            <a:graphic xmlns:a="http://schemas.openxmlformats.org/drawingml/2006/main">
              <a:graphicData uri="http://schemas.openxmlformats.org/drawingml/2006/picture">
                <pic:pic xmlns:pic="http://schemas.openxmlformats.org/drawingml/2006/picture">
                  <pic:nvPicPr>
                    <pic:cNvPr id="20" name="drawing"/>
                    <pic:cNvPicPr/>
                  </pic:nvPicPr>
                  <pic:blipFill>
                    <a:blip r:embed="rId5"/>
                    <a:stretch>
                      <a:fillRect/>
                    </a:stretch>
                  </pic:blipFill>
                  <pic:spPr>
                    <a:xfrm>
                      <a:off x="0" y="0"/>
                      <a:ext cx="3818890" cy="5724525"/>
                    </a:xfrm>
                    <a:prstGeom prst="rect">
                      <a:avLst/>
                    </a:prstGeom>
                    <a:noFill/>
                    <a:ln>
                      <a:noFill/>
                      <a:prstDash val="solid"/>
                    </a:ln>
                  </pic:spPr>
                </pic:pic>
              </a:graphicData>
            </a:graphic>
          </wp:inline>
        </w:drawing>
      </w:r>
      <w:r>
        <w:br w:type="page"/>
      </w:r>
    </w:p>
    <w:p w14:paraId="08538992">
      <w:pPr>
        <w:pStyle w:val="2"/>
        <w:spacing w:before="280" w:after="160"/>
        <w:jc w:val="both"/>
        <w:rPr>
          <w:color w:val="auto"/>
        </w:rPr>
      </w:pPr>
      <w:r>
        <w:rPr>
          <w:color w:val="auto"/>
        </w:rPr>
        <w:t>2.  Modules for Project Implementation</w:t>
      </w:r>
    </w:p>
    <w:p w14:paraId="07D16954">
      <w:pPr>
        <w:pStyle w:val="3"/>
        <w:spacing w:after="120"/>
        <w:jc w:val="both"/>
      </w:pPr>
    </w:p>
    <w:p w14:paraId="07C27357">
      <w:pPr>
        <w:pStyle w:val="3"/>
        <w:spacing w:after="120"/>
        <w:jc w:val="both"/>
      </w:pPr>
      <w:r>
        <w:t>2.1  Modules Used</w:t>
      </w:r>
    </w:p>
    <w:p w14:paraId="49CF9072">
      <w:pPr>
        <w:spacing w:after="120"/>
        <w:jc w:val="both"/>
      </w:pPr>
      <w:r>
        <w:t>The following table lists all Python modules/libraries imported in the project, the specific functions or classes used from each, and their purpose in the pipeline:</w:t>
      </w:r>
    </w:p>
    <w:p w14:paraId="3AE535F6">
      <w:pPr>
        <w:spacing w:after="8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2"/>
        <w:gridCol w:w="3418"/>
        <w:gridCol w:w="3300"/>
      </w:tblGrid>
      <w:tr w14:paraId="5CA7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F4E79" w:sz="0" w:space="0"/>
              <w:left w:val="single" w:color="1F4E79" w:sz="0" w:space="0"/>
              <w:bottom w:val="single" w:color="1F4E79" w:sz="0" w:space="0"/>
              <w:right w:val="single" w:color="1F4E79" w:sz="0" w:space="0"/>
            </w:tcBorders>
            <w:shd w:val="clear" w:color="auto" w:fill="2E75B6"/>
            <w:tcMar>
              <w:top w:w="90" w:type="dxa"/>
              <w:left w:w="120" w:type="dxa"/>
              <w:bottom w:w="90" w:type="dxa"/>
              <w:right w:w="120" w:type="dxa"/>
            </w:tcMar>
          </w:tcPr>
          <w:p w14:paraId="06540253">
            <w:pPr>
              <w:jc w:val="both"/>
            </w:pPr>
            <w:r>
              <w:rPr>
                <w:b/>
                <w:bCs/>
                <w:color w:val="FFFFFF"/>
                <w:sz w:val="20"/>
                <w:szCs w:val="20"/>
              </w:rPr>
              <w:t>Module</w:t>
            </w:r>
          </w:p>
        </w:tc>
        <w:tc>
          <w:tcPr>
            <w:tcW w:w="2200" w:type="dxa"/>
            <w:tcBorders>
              <w:top w:val="single" w:color="1F4E79" w:sz="0" w:space="0"/>
              <w:left w:val="single" w:color="1F4E79" w:sz="0" w:space="0"/>
              <w:bottom w:val="single" w:color="1F4E79" w:sz="0" w:space="0"/>
              <w:right w:val="single" w:color="1F4E79" w:sz="0" w:space="0"/>
            </w:tcBorders>
            <w:shd w:val="clear" w:color="auto" w:fill="2E75B6"/>
            <w:tcMar>
              <w:top w:w="90" w:type="dxa"/>
              <w:left w:w="120" w:type="dxa"/>
              <w:bottom w:w="90" w:type="dxa"/>
              <w:right w:w="120" w:type="dxa"/>
            </w:tcMar>
          </w:tcPr>
          <w:p w14:paraId="5FE9E977">
            <w:pPr>
              <w:jc w:val="both"/>
            </w:pPr>
            <w:r>
              <w:rPr>
                <w:b/>
                <w:bCs/>
                <w:color w:val="FFFFFF"/>
                <w:sz w:val="20"/>
                <w:szCs w:val="20"/>
              </w:rPr>
              <w:t>Functions / Classes Used</w:t>
            </w:r>
          </w:p>
        </w:tc>
        <w:tc>
          <w:tcPr>
            <w:tcW w:w="2200" w:type="dxa"/>
            <w:tcBorders>
              <w:top w:val="single" w:color="1F4E79" w:sz="0" w:space="0"/>
              <w:left w:val="single" w:color="1F4E79" w:sz="0" w:space="0"/>
              <w:bottom w:val="single" w:color="1F4E79" w:sz="0" w:space="0"/>
              <w:right w:val="single" w:color="1F4E79" w:sz="0" w:space="0"/>
            </w:tcBorders>
            <w:shd w:val="clear" w:color="auto" w:fill="2E75B6"/>
            <w:tcMar>
              <w:top w:w="90" w:type="dxa"/>
              <w:left w:w="120" w:type="dxa"/>
              <w:bottom w:w="90" w:type="dxa"/>
              <w:right w:w="120" w:type="dxa"/>
            </w:tcMar>
          </w:tcPr>
          <w:p w14:paraId="2BAE66BA">
            <w:pPr>
              <w:jc w:val="both"/>
            </w:pPr>
            <w:r>
              <w:rPr>
                <w:b/>
                <w:bCs/>
                <w:color w:val="FFFFFF"/>
                <w:sz w:val="20"/>
                <w:szCs w:val="20"/>
              </w:rPr>
              <w:t>Purpose</w:t>
            </w:r>
          </w:p>
        </w:tc>
      </w:tr>
      <w:tr w14:paraId="7530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2BB0D7C9">
            <w:pPr>
              <w:jc w:val="both"/>
            </w:pPr>
            <w:r>
              <w:rPr>
                <w:b/>
                <w:bCs/>
                <w:sz w:val="20"/>
                <w:szCs w:val="20"/>
              </w:rPr>
              <w:t>pandas</w:t>
            </w:r>
          </w:p>
        </w:tc>
        <w:tc>
          <w:tcPr>
            <w:tcW w:w="356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3A52F271">
            <w:pPr>
              <w:jc w:val="both"/>
            </w:pPr>
            <w:r>
              <w:rPr>
                <w:sz w:val="20"/>
                <w:szCs w:val="20"/>
              </w:rPr>
              <w:t>pd.read_csv(), df.describe(), df.isnull(), df.dropna(), df.drop_duplicates(), df.fillna(), df.groupby(), df.corr()</w:t>
            </w:r>
          </w:p>
        </w:tc>
        <w:tc>
          <w:tcPr>
            <w:tcW w:w="36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1B2BAA47">
            <w:pPr>
              <w:jc w:val="both"/>
            </w:pPr>
            <w:r>
              <w:rPr>
                <w:sz w:val="20"/>
                <w:szCs w:val="20"/>
              </w:rPr>
              <w:t>Data loading, manipulation, missing value handling, statistical summaries</w:t>
            </w:r>
          </w:p>
        </w:tc>
      </w:tr>
      <w:tr w14:paraId="6DC4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50B0C476">
            <w:pPr>
              <w:jc w:val="both"/>
            </w:pPr>
            <w:r>
              <w:rPr>
                <w:b/>
                <w:bCs/>
                <w:sz w:val="20"/>
                <w:szCs w:val="20"/>
              </w:rPr>
              <w:t>numpy</w:t>
            </w:r>
          </w:p>
        </w:tc>
        <w:tc>
          <w:tcPr>
            <w:tcW w:w="356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286DD2E3">
            <w:pPr>
              <w:jc w:val="both"/>
            </w:pPr>
            <w:r>
              <w:rPr>
                <w:sz w:val="20"/>
                <w:szCs w:val="20"/>
              </w:rPr>
              <w:t>np.sqrt(), np.cumsum(), np.argmax()</w:t>
            </w:r>
          </w:p>
        </w:tc>
        <w:tc>
          <w:tcPr>
            <w:tcW w:w="36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18401726">
            <w:pPr>
              <w:jc w:val="both"/>
            </w:pPr>
            <w:r>
              <w:rPr>
                <w:sz w:val="20"/>
                <w:szCs w:val="20"/>
              </w:rPr>
              <w:t>Numerical computations, array operations, square-root for RMSE</w:t>
            </w:r>
          </w:p>
        </w:tc>
      </w:tr>
      <w:tr w14:paraId="5DE4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312B0F28">
            <w:pPr>
              <w:jc w:val="both"/>
            </w:pPr>
            <w:r>
              <w:rPr>
                <w:b/>
                <w:bCs/>
                <w:sz w:val="20"/>
                <w:szCs w:val="20"/>
              </w:rPr>
              <w:t>matplotlib.pyplot</w:t>
            </w:r>
          </w:p>
        </w:tc>
        <w:tc>
          <w:tcPr>
            <w:tcW w:w="356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5BF136B0">
            <w:pPr>
              <w:jc w:val="both"/>
            </w:pPr>
            <w:r>
              <w:rPr>
                <w:sz w:val="20"/>
                <w:szCs w:val="20"/>
              </w:rPr>
              <w:t>plt.plot(), plt.bar(), plt.scatter(), plt.show(), plt.title()</w:t>
            </w:r>
          </w:p>
        </w:tc>
        <w:tc>
          <w:tcPr>
            <w:tcW w:w="36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4FCBF0E0">
            <w:pPr>
              <w:jc w:val="both"/>
            </w:pPr>
            <w:r>
              <w:rPr>
                <w:sz w:val="20"/>
                <w:szCs w:val="20"/>
              </w:rPr>
              <w:t>Plotting line charts, bar charts, scatter plots for EDA</w:t>
            </w:r>
          </w:p>
        </w:tc>
      </w:tr>
      <w:tr w14:paraId="5D9C6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29CC747E">
            <w:pPr>
              <w:jc w:val="both"/>
            </w:pPr>
            <w:r>
              <w:rPr>
                <w:b/>
                <w:bCs/>
                <w:sz w:val="20"/>
                <w:szCs w:val="20"/>
              </w:rPr>
              <w:t>seaborn</w:t>
            </w:r>
          </w:p>
        </w:tc>
        <w:tc>
          <w:tcPr>
            <w:tcW w:w="356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239DDE6A">
            <w:pPr>
              <w:jc w:val="both"/>
            </w:pPr>
            <w:r>
              <w:rPr>
                <w:sz w:val="20"/>
                <w:szCs w:val="20"/>
              </w:rPr>
              <w:t>sns.histplot(), sns.heatmap(), sns.scatterplot(), sns.boxplot()</w:t>
            </w:r>
          </w:p>
        </w:tc>
        <w:tc>
          <w:tcPr>
            <w:tcW w:w="36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7A6A5DC6">
            <w:pPr>
              <w:jc w:val="both"/>
            </w:pPr>
            <w:r>
              <w:rPr>
                <w:sz w:val="20"/>
                <w:szCs w:val="20"/>
              </w:rPr>
              <w:t>Statistical visualizations — heatmaps, distributions, boxplots</w:t>
            </w:r>
          </w:p>
        </w:tc>
      </w:tr>
      <w:tr w14:paraId="067E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54973E7F">
            <w:pPr>
              <w:jc w:val="both"/>
            </w:pPr>
            <w:r>
              <w:rPr>
                <w:b/>
                <w:bCs/>
                <w:sz w:val="20"/>
                <w:szCs w:val="20"/>
              </w:rPr>
              <w:t>sklearn.preprocessing</w:t>
            </w:r>
          </w:p>
        </w:tc>
        <w:tc>
          <w:tcPr>
            <w:tcW w:w="356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494572D7">
            <w:pPr>
              <w:jc w:val="both"/>
            </w:pPr>
            <w:r>
              <w:rPr>
                <w:sz w:val="20"/>
                <w:szCs w:val="20"/>
              </w:rPr>
              <w:t>StandardScaler — fit_transform()</w:t>
            </w:r>
          </w:p>
        </w:tc>
        <w:tc>
          <w:tcPr>
            <w:tcW w:w="36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085380BE">
            <w:pPr>
              <w:jc w:val="both"/>
            </w:pPr>
            <w:r>
              <w:rPr>
                <w:sz w:val="20"/>
                <w:szCs w:val="20"/>
              </w:rPr>
              <w:t>Feature normalization (zero mean, unit variance)</w:t>
            </w:r>
          </w:p>
        </w:tc>
      </w:tr>
      <w:tr w14:paraId="2BB8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470B00E2">
            <w:pPr>
              <w:jc w:val="both"/>
            </w:pPr>
            <w:r>
              <w:rPr>
                <w:b/>
                <w:bCs/>
                <w:sz w:val="20"/>
                <w:szCs w:val="20"/>
              </w:rPr>
              <w:t>sklearn.decomposition</w:t>
            </w:r>
          </w:p>
        </w:tc>
        <w:tc>
          <w:tcPr>
            <w:tcW w:w="356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0C2DC44F">
            <w:pPr>
              <w:jc w:val="both"/>
            </w:pPr>
            <w:r>
              <w:rPr>
                <w:sz w:val="20"/>
                <w:szCs w:val="20"/>
              </w:rPr>
              <w:t>PCA — fit_transform(), explained_variance_ratio_</w:t>
            </w:r>
          </w:p>
        </w:tc>
        <w:tc>
          <w:tcPr>
            <w:tcW w:w="36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52D0B4E2">
            <w:pPr>
              <w:jc w:val="both"/>
            </w:pPr>
            <w:r>
              <w:rPr>
                <w:sz w:val="20"/>
                <w:szCs w:val="20"/>
              </w:rPr>
              <w:t>Dimensionality reduction; retains 95% variance in 13 components</w:t>
            </w:r>
          </w:p>
        </w:tc>
      </w:tr>
      <w:tr w14:paraId="7252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5298CCC3">
            <w:pPr>
              <w:jc w:val="both"/>
            </w:pPr>
            <w:r>
              <w:rPr>
                <w:b/>
                <w:bCs/>
                <w:sz w:val="20"/>
                <w:szCs w:val="20"/>
              </w:rPr>
              <w:t>sklearn.feature_selection</w:t>
            </w:r>
          </w:p>
        </w:tc>
        <w:tc>
          <w:tcPr>
            <w:tcW w:w="356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4AF44156">
            <w:pPr>
              <w:jc w:val="both"/>
            </w:pPr>
            <w:r>
              <w:rPr>
                <w:sz w:val="20"/>
                <w:szCs w:val="20"/>
              </w:rPr>
              <w:t>SequentialFeatureSelector — fit(), get_support()</w:t>
            </w:r>
          </w:p>
        </w:tc>
        <w:tc>
          <w:tcPr>
            <w:tcW w:w="36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177B5AAF">
            <w:pPr>
              <w:jc w:val="both"/>
            </w:pPr>
            <w:r>
              <w:rPr>
                <w:sz w:val="20"/>
                <w:szCs w:val="20"/>
              </w:rPr>
              <w:t>Forward &amp; Backward feature selection using LinearRegression as estimator</w:t>
            </w:r>
          </w:p>
        </w:tc>
      </w:tr>
      <w:tr w14:paraId="7174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680E177C">
            <w:pPr>
              <w:jc w:val="both"/>
            </w:pPr>
            <w:r>
              <w:rPr>
                <w:b/>
                <w:bCs/>
                <w:sz w:val="20"/>
                <w:szCs w:val="20"/>
              </w:rPr>
              <w:t>sklearn.model_selection</w:t>
            </w:r>
          </w:p>
        </w:tc>
        <w:tc>
          <w:tcPr>
            <w:tcW w:w="356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7FA7E7B4">
            <w:pPr>
              <w:jc w:val="both"/>
            </w:pPr>
            <w:r>
              <w:rPr>
                <w:sz w:val="20"/>
                <w:szCs w:val="20"/>
              </w:rPr>
              <w:t>train_test_split()</w:t>
            </w:r>
          </w:p>
        </w:tc>
        <w:tc>
          <w:tcPr>
            <w:tcW w:w="36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6770E7AA">
            <w:pPr>
              <w:jc w:val="both"/>
            </w:pPr>
            <w:r>
              <w:rPr>
                <w:sz w:val="20"/>
                <w:szCs w:val="20"/>
              </w:rPr>
              <w:t>80/20 stratified split of data into training and testing sets</w:t>
            </w:r>
          </w:p>
        </w:tc>
      </w:tr>
      <w:tr w14:paraId="74FC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14EB35BD">
            <w:pPr>
              <w:jc w:val="both"/>
            </w:pPr>
            <w:r>
              <w:rPr>
                <w:b/>
                <w:bCs/>
                <w:sz w:val="20"/>
                <w:szCs w:val="20"/>
              </w:rPr>
              <w:t>sklearn.linear_model</w:t>
            </w:r>
          </w:p>
        </w:tc>
        <w:tc>
          <w:tcPr>
            <w:tcW w:w="356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1E794B09">
            <w:pPr>
              <w:jc w:val="both"/>
            </w:pPr>
            <w:r>
              <w:rPr>
                <w:sz w:val="20"/>
                <w:szCs w:val="20"/>
              </w:rPr>
              <w:t>LinearRegression — fit(), predict()</w:t>
            </w:r>
          </w:p>
        </w:tc>
        <w:tc>
          <w:tcPr>
            <w:tcW w:w="36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2E4054AA">
            <w:pPr>
              <w:jc w:val="both"/>
            </w:pPr>
            <w:r>
              <w:rPr>
                <w:sz w:val="20"/>
                <w:szCs w:val="20"/>
              </w:rPr>
              <w:t>Baseline regression model; also used as estimator for feature selection</w:t>
            </w:r>
          </w:p>
        </w:tc>
      </w:tr>
      <w:tr w14:paraId="08DD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1F7841D4">
            <w:pPr>
              <w:jc w:val="both"/>
            </w:pPr>
            <w:r>
              <w:rPr>
                <w:b/>
                <w:bCs/>
                <w:sz w:val="20"/>
                <w:szCs w:val="20"/>
              </w:rPr>
              <w:t>sklearn.ensemble</w:t>
            </w:r>
          </w:p>
        </w:tc>
        <w:tc>
          <w:tcPr>
            <w:tcW w:w="356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63823675">
            <w:pPr>
              <w:jc w:val="both"/>
            </w:pPr>
            <w:r>
              <w:rPr>
                <w:sz w:val="20"/>
                <w:szCs w:val="20"/>
              </w:rPr>
              <w:t>RandomForestRegressor, GradientBoostingRegressor — fit(), predict()</w:t>
            </w:r>
          </w:p>
        </w:tc>
        <w:tc>
          <w:tcPr>
            <w:tcW w:w="36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15701B8B">
            <w:pPr>
              <w:jc w:val="both"/>
            </w:pPr>
            <w:r>
              <w:rPr>
                <w:sz w:val="20"/>
                <w:szCs w:val="20"/>
              </w:rPr>
              <w:t>Ensemble models for capturing non-linear relationships in energy data</w:t>
            </w:r>
          </w:p>
        </w:tc>
      </w:tr>
      <w:tr w14:paraId="331D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3285F048">
            <w:pPr>
              <w:jc w:val="both"/>
            </w:pPr>
            <w:r>
              <w:rPr>
                <w:b/>
                <w:bCs/>
                <w:sz w:val="20"/>
                <w:szCs w:val="20"/>
              </w:rPr>
              <w:t>sklearn.metrics</w:t>
            </w:r>
          </w:p>
        </w:tc>
        <w:tc>
          <w:tcPr>
            <w:tcW w:w="356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575FB6EC">
            <w:pPr>
              <w:jc w:val="both"/>
            </w:pPr>
            <w:r>
              <w:rPr>
                <w:sz w:val="20"/>
                <w:szCs w:val="20"/>
              </w:rPr>
              <w:t>mean_absolute_error(), mean_squared_error(), r2_score()</w:t>
            </w:r>
          </w:p>
        </w:tc>
        <w:tc>
          <w:tcPr>
            <w:tcW w:w="3600" w:type="dxa"/>
            <w:tcBorders>
              <w:top w:val="single" w:color="BBBBBB" w:sz="0" w:space="0"/>
              <w:left w:val="single" w:color="BBBBBB" w:sz="0" w:space="0"/>
              <w:bottom w:val="single" w:color="BBBBBB" w:sz="0" w:space="0"/>
              <w:right w:val="single" w:color="BBBBBB" w:sz="0" w:space="0"/>
            </w:tcBorders>
            <w:shd w:val="clear" w:color="auto" w:fill="EBF4FF"/>
            <w:tcMar>
              <w:top w:w="80" w:type="dxa"/>
              <w:left w:w="120" w:type="dxa"/>
              <w:bottom w:w="80" w:type="dxa"/>
              <w:right w:w="120" w:type="dxa"/>
            </w:tcMar>
          </w:tcPr>
          <w:p w14:paraId="0DF9617E">
            <w:pPr>
              <w:jc w:val="both"/>
            </w:pPr>
            <w:r>
              <w:rPr>
                <w:sz w:val="20"/>
                <w:szCs w:val="20"/>
              </w:rPr>
              <w:t>Model evaluation metrics — MAE, MSE, RMSE, R² Score</w:t>
            </w:r>
          </w:p>
        </w:tc>
      </w:tr>
      <w:tr w14:paraId="5C75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182F08E9">
            <w:pPr>
              <w:jc w:val="both"/>
            </w:pPr>
            <w:r>
              <w:rPr>
                <w:b/>
                <w:bCs/>
                <w:sz w:val="20"/>
                <w:szCs w:val="20"/>
              </w:rPr>
              <w:t>pickle</w:t>
            </w:r>
          </w:p>
        </w:tc>
        <w:tc>
          <w:tcPr>
            <w:tcW w:w="356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5F758FB6">
            <w:pPr>
              <w:jc w:val="both"/>
            </w:pPr>
            <w:r>
              <w:rPr>
                <w:sz w:val="20"/>
                <w:szCs w:val="20"/>
              </w:rPr>
              <w:t>pickle.dump()</w:t>
            </w:r>
          </w:p>
        </w:tc>
        <w:tc>
          <w:tcPr>
            <w:tcW w:w="36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20" w:type="dxa"/>
              <w:bottom w:w="80" w:type="dxa"/>
              <w:right w:w="120" w:type="dxa"/>
            </w:tcMar>
          </w:tcPr>
          <w:p w14:paraId="3C171461">
            <w:pPr>
              <w:jc w:val="both"/>
            </w:pPr>
            <w:r>
              <w:rPr>
                <w:sz w:val="20"/>
                <w:szCs w:val="20"/>
              </w:rPr>
              <w:t>Serialize and save trained model, scaler, and feature selector to .pkl files</w:t>
            </w:r>
          </w:p>
        </w:tc>
      </w:tr>
    </w:tbl>
    <w:p w14:paraId="29F62C29">
      <w:pPr>
        <w:spacing w:after="80"/>
        <w:jc w:val="both"/>
      </w:pPr>
    </w:p>
    <w:p w14:paraId="6408F63C">
      <w:pPr>
        <w:pStyle w:val="3"/>
        <w:spacing w:after="120"/>
        <w:jc w:val="both"/>
      </w:pPr>
    </w:p>
    <w:p w14:paraId="46DB57BA">
      <w:pPr>
        <w:pStyle w:val="3"/>
        <w:spacing w:after="120"/>
        <w:jc w:val="both"/>
        <w:rPr>
          <w:color w:val="auto"/>
        </w:rPr>
      </w:pPr>
      <w:r>
        <w:rPr>
          <w:color w:val="auto"/>
        </w:rPr>
        <w:t>2.2  Platform Used</w:t>
      </w:r>
    </w:p>
    <w:p w14:paraId="67C1650B">
      <w:pPr>
        <w:spacing w:after="40"/>
        <w:jc w:val="both"/>
      </w:pPr>
    </w:p>
    <w:p w14:paraId="014E351C">
      <w:pPr>
        <w:pStyle w:val="18"/>
        <w:numPr>
          <w:ilvl w:val="0"/>
          <w:numId w:val="1"/>
        </w:numPr>
        <w:spacing w:after="80"/>
        <w:jc w:val="both"/>
      </w:pPr>
      <w:r>
        <w:t>Jupyter Notebook (via Anaconda / JupyterLab):</w:t>
      </w:r>
    </w:p>
    <w:p w14:paraId="30582C0B">
      <w:pPr>
        <w:spacing w:after="80"/>
        <w:ind w:left="720"/>
        <w:jc w:val="both"/>
      </w:pPr>
      <w:r>
        <w:t>The entire project — data loading, EDA, preprocessing, feature selection, model training, and evaluation — was developed and executed inside a Jupyter Notebook (.ipynb). Jupyter provides an interactive cell-based environment ideal for iterative ML experimentation, with inline visualization support and the ability to document findings alongside code.</w:t>
      </w:r>
    </w:p>
    <w:p w14:paraId="419E76AB">
      <w:pPr>
        <w:spacing w:after="60"/>
        <w:jc w:val="both"/>
      </w:pPr>
    </w:p>
    <w:p w14:paraId="773B46D6">
      <w:pPr>
        <w:pStyle w:val="18"/>
        <w:numPr>
          <w:ilvl w:val="0"/>
          <w:numId w:val="1"/>
        </w:numPr>
        <w:spacing w:after="80"/>
        <w:jc w:val="both"/>
      </w:pPr>
      <w:r>
        <w:t>Python 3.x:</w:t>
      </w:r>
    </w:p>
    <w:p w14:paraId="381977A1">
      <w:pPr>
        <w:spacing w:after="80"/>
        <w:ind w:left="720"/>
        <w:jc w:val="both"/>
      </w:pPr>
      <w:r>
        <w:t>The programming language used throughout. Python's rich ecosystem of data science and ML libraries (pandas, scikit-learn, matplotlib, seaborn) makes it the industry standard for machine learning projects.</w:t>
      </w:r>
    </w:p>
    <w:p w14:paraId="440F26F1">
      <w:pPr>
        <w:spacing w:after="60"/>
        <w:jc w:val="both"/>
      </w:pPr>
    </w:p>
    <w:p w14:paraId="1455C205">
      <w:pPr>
        <w:pStyle w:val="18"/>
        <w:numPr>
          <w:ilvl w:val="0"/>
          <w:numId w:val="1"/>
        </w:numPr>
        <w:spacing w:after="80"/>
        <w:jc w:val="both"/>
      </w:pPr>
      <w:r>
        <w:t>Visual Studio Code (VS Code) — optional:</w:t>
      </w:r>
    </w:p>
    <w:p w14:paraId="390104D2">
      <w:pPr>
        <w:spacing w:after="80"/>
        <w:ind w:left="720"/>
        <w:jc w:val="both"/>
      </w:pPr>
      <w:r>
        <w:t>Can be used alongside Jupyter for code editing, debugging with the Python and Jupyter extensions. VS Code's integrated terminal and Git support enhance the development workflow.</w:t>
      </w:r>
    </w:p>
    <w:p w14:paraId="7722BF4E">
      <w:pPr>
        <w:spacing w:after="60"/>
        <w:jc w:val="both"/>
      </w:pPr>
    </w:p>
    <w:p w14:paraId="0B121D6F">
      <w:pPr>
        <w:pStyle w:val="18"/>
        <w:numPr>
          <w:ilvl w:val="0"/>
          <w:numId w:val="1"/>
        </w:numPr>
        <w:spacing w:after="80"/>
        <w:jc w:val="both"/>
      </w:pPr>
      <w:r>
        <w:t>Anaconda Distribution:</w:t>
      </w:r>
    </w:p>
    <w:p w14:paraId="50FFD5CF">
      <w:pPr>
        <w:spacing w:after="80"/>
        <w:ind w:left="720"/>
        <w:jc w:val="both"/>
      </w:pPr>
      <w:r>
        <w:t>Used for environment management. Anaconda bundles all required scientific Python packages and provides the conda package manager, ensuring reproducibility across different machines.</w:t>
      </w:r>
    </w:p>
    <w:p w14:paraId="612931F3">
      <w:pPr>
        <w:pStyle w:val="2"/>
        <w:spacing w:before="280" w:after="160"/>
        <w:jc w:val="both"/>
        <w:rPr>
          <w:color w:val="auto"/>
        </w:rPr>
      </w:pPr>
      <w:r>
        <w:rPr>
          <w:color w:val="auto"/>
        </w:rPr>
        <w:t>3.  Machine Learning Models Used</w:t>
      </w:r>
    </w:p>
    <w:p w14:paraId="046E2547">
      <w:pPr>
        <w:pStyle w:val="3"/>
        <w:spacing w:after="120"/>
        <w:jc w:val="both"/>
      </w:pPr>
    </w:p>
    <w:p w14:paraId="1098D1CA">
      <w:pPr>
        <w:pStyle w:val="3"/>
        <w:spacing w:after="120"/>
        <w:jc w:val="both"/>
        <w:rPr>
          <w:color w:val="auto"/>
        </w:rPr>
      </w:pPr>
      <w:r>
        <w:rPr>
          <w:color w:val="auto"/>
        </w:rPr>
        <w:t>3.1  Linear Regression</w:t>
      </w:r>
    </w:p>
    <w:p w14:paraId="51B4E050">
      <w:pPr>
        <w:spacing w:after="120"/>
        <w:jc w:val="both"/>
      </w:pPr>
      <w:r>
        <w:t>Linear Regression is the simplest and most interpretable supervised regression algorithm. It models the relationship between the target variable and features as a linear combination:</w:t>
      </w:r>
    </w:p>
    <w:p w14:paraId="230E442A">
      <w:pPr>
        <w:spacing w:after="40"/>
        <w:jc w:val="both"/>
      </w:pPr>
    </w:p>
    <w:p w14:paraId="7559D6B2">
      <w:pPr>
        <w:spacing w:after="80"/>
        <w:jc w:val="both"/>
      </w:pPr>
      <w:r>
        <w:rPr>
          <w:b/>
          <w:bCs/>
          <w:color w:val="1F4E79"/>
        </w:rPr>
        <w:t>Y = β₀ + β₁X₁ + β₂X₂ + ... + βₙXₙ</w:t>
      </w:r>
    </w:p>
    <w:p w14:paraId="128E69E5">
      <w:pPr>
        <w:spacing w:after="40"/>
        <w:jc w:val="both"/>
      </w:pPr>
    </w:p>
    <w:p w14:paraId="7C813A26">
      <w:pPr>
        <w:spacing w:after="120"/>
        <w:jc w:val="both"/>
      </w:pPr>
      <w:r>
        <w:t>where β₀ is the intercept and β₁…βₙ are coefficients learned by minimizing the Mean Squared Error (MSE) using Ordinary Least Squares (OLS).</w:t>
      </w:r>
    </w:p>
    <w:p w14:paraId="04A0BA58">
      <w:pPr>
        <w:spacing w:after="60"/>
        <w:jc w:val="both"/>
      </w:pPr>
    </w:p>
    <w:p w14:paraId="2519833C">
      <w:pPr>
        <w:spacing w:after="120"/>
        <w:jc w:val="both"/>
      </w:pPr>
      <w:r>
        <w:rPr>
          <w:b/>
          <w:bCs/>
        </w:rPr>
        <w:t>Role in this project:</w:t>
      </w:r>
    </w:p>
    <w:p w14:paraId="5ECC504A">
      <w:pPr>
        <w:spacing w:after="120"/>
        <w:jc w:val="both"/>
      </w:pPr>
      <w:r>
        <w:t>Linear Regression was used as both the baseline predictive model and as the estimator inside SequentialFeatureSelector for Forward and Backward feature selection. It assumes a linear relationship between features and energy consumption, making it interpretable but limited for capturing complex non-linear patterns in the data.</w:t>
      </w:r>
    </w:p>
    <w:p w14:paraId="5F310943">
      <w:pPr>
        <w:spacing w:after="60"/>
        <w:jc w:val="both"/>
      </w:pPr>
    </w:p>
    <w:p w14:paraId="773D3C22">
      <w:pPr>
        <w:spacing w:after="120"/>
        <w:jc w:val="both"/>
      </w:pPr>
      <w:r>
        <w:rPr>
          <w:b/>
          <w:bCs/>
        </w:rPr>
        <w:t>Result:  R² = 0.197 | MAE = 20.77 | RMSE = 27.54</w:t>
      </w:r>
    </w:p>
    <w:p w14:paraId="0338DAAB">
      <w:pPr>
        <w:spacing w:after="80"/>
        <w:jc w:val="both"/>
      </w:pPr>
    </w:p>
    <w:p w14:paraId="37297E68">
      <w:pPr>
        <w:pStyle w:val="3"/>
        <w:spacing w:after="120"/>
        <w:jc w:val="both"/>
        <w:rPr>
          <w:color w:val="auto"/>
        </w:rPr>
      </w:pPr>
      <w:r>
        <w:rPr>
          <w:color w:val="auto"/>
        </w:rPr>
        <w:t>3.2  Random Forest Regressor</w:t>
      </w:r>
    </w:p>
    <w:p w14:paraId="4DE31CAC">
      <w:pPr>
        <w:spacing w:after="120"/>
        <w:jc w:val="both"/>
      </w:pPr>
      <w:r>
        <w:t>Random Forest is a powerful ensemble learning method that constructs a large number of decision trees during training and outputs the mean prediction of all individual trees. Each tree is trained on a random bootstrap sample of the data, and at each split, a random subset of features is considered — a technique called bagging + feature randomization.</w:t>
      </w:r>
    </w:p>
    <w:p w14:paraId="1CCFC881">
      <w:pPr>
        <w:spacing w:after="60"/>
        <w:jc w:val="both"/>
      </w:pPr>
    </w:p>
    <w:p w14:paraId="6A4BC46B">
      <w:pPr>
        <w:spacing w:after="120"/>
        <w:jc w:val="both"/>
      </w:pPr>
      <w:r>
        <w:rPr>
          <w:b/>
          <w:bCs/>
        </w:rPr>
        <w:t>Hyperparameters used:</w:t>
      </w:r>
    </w:p>
    <w:p w14:paraId="77BB289D">
      <w:pPr>
        <w:pStyle w:val="18"/>
        <w:numPr>
          <w:ilvl w:val="0"/>
          <w:numId w:val="1"/>
        </w:numPr>
        <w:spacing w:after="80"/>
        <w:jc w:val="both"/>
      </w:pPr>
      <w:r>
        <w:t xml:space="preserve">n_estimators = </w:t>
      </w:r>
      <w:r>
        <w:rPr>
          <w:lang w:val="en-US"/>
        </w:rPr>
        <w:t>6</w:t>
      </w:r>
      <w:r>
        <w:t>00  (number of decision trees)</w:t>
      </w:r>
    </w:p>
    <w:p w14:paraId="621216E1">
      <w:pPr>
        <w:pStyle w:val="18"/>
        <w:numPr>
          <w:ilvl w:val="0"/>
          <w:numId w:val="1"/>
        </w:numPr>
        <w:spacing w:after="80"/>
        <w:jc w:val="both"/>
      </w:pPr>
      <w:r>
        <w:t>random_state = 42  (reproducibility)</w:t>
      </w:r>
    </w:p>
    <w:p w14:paraId="6B049BB7">
      <w:pPr>
        <w:spacing w:after="60"/>
        <w:jc w:val="both"/>
      </w:pPr>
    </w:p>
    <w:p w14:paraId="2AD69D7D">
      <w:pPr>
        <w:spacing w:after="120"/>
        <w:jc w:val="both"/>
      </w:pPr>
      <w:r>
        <w:rPr>
          <w:b/>
          <w:bCs/>
        </w:rPr>
        <w:t>Advantages:</w:t>
      </w:r>
    </w:p>
    <w:p w14:paraId="06648E5E">
      <w:pPr>
        <w:pStyle w:val="18"/>
        <w:numPr>
          <w:ilvl w:val="0"/>
          <w:numId w:val="1"/>
        </w:numPr>
        <w:spacing w:after="80"/>
        <w:jc w:val="both"/>
      </w:pPr>
      <w:r>
        <w:t>Handles non-linear relationships and feature interactions naturally</w:t>
      </w:r>
    </w:p>
    <w:p w14:paraId="5AB66A56">
      <w:pPr>
        <w:pStyle w:val="18"/>
        <w:numPr>
          <w:ilvl w:val="0"/>
          <w:numId w:val="1"/>
        </w:numPr>
        <w:spacing w:after="80"/>
        <w:jc w:val="both"/>
      </w:pPr>
      <w:r>
        <w:t>Robust to outliers and does not require feature scaling</w:t>
      </w:r>
    </w:p>
    <w:p w14:paraId="231A5C4E">
      <w:pPr>
        <w:pStyle w:val="18"/>
        <w:numPr>
          <w:ilvl w:val="0"/>
          <w:numId w:val="1"/>
        </w:numPr>
        <w:spacing w:after="80"/>
        <w:jc w:val="both"/>
      </w:pPr>
      <w:r>
        <w:t>Provides implicit feature importance rankings</w:t>
      </w:r>
    </w:p>
    <w:p w14:paraId="4553E7DD">
      <w:pPr>
        <w:pStyle w:val="18"/>
        <w:numPr>
          <w:ilvl w:val="0"/>
          <w:numId w:val="1"/>
        </w:numPr>
        <w:spacing w:after="80"/>
        <w:jc w:val="both"/>
      </w:pPr>
      <w:r>
        <w:t>Reduces variance significantly compared to a single decision tree</w:t>
      </w:r>
    </w:p>
    <w:p w14:paraId="3EF2E6B9">
      <w:pPr>
        <w:spacing w:after="60"/>
        <w:jc w:val="both"/>
      </w:pPr>
    </w:p>
    <w:p w14:paraId="078A0E18">
      <w:pPr>
        <w:spacing w:after="120"/>
        <w:jc w:val="both"/>
      </w:pPr>
      <w:r>
        <w:rPr>
          <w:b/>
          <w:bCs/>
        </w:rPr>
        <w:t>Result:  R² = 0.583 | MAE = 13.84 | RMSE = 19.85  (Best model)</w:t>
      </w:r>
    </w:p>
    <w:p w14:paraId="564B5BC0">
      <w:pPr>
        <w:spacing w:after="80"/>
        <w:jc w:val="both"/>
      </w:pPr>
    </w:p>
    <w:p w14:paraId="240BB4F6">
      <w:pPr>
        <w:pStyle w:val="3"/>
        <w:spacing w:after="120"/>
        <w:jc w:val="both"/>
        <w:rPr>
          <w:color w:val="auto"/>
        </w:rPr>
      </w:pPr>
      <w:r>
        <w:rPr>
          <w:color w:val="auto"/>
        </w:rPr>
        <w:t>3.3  Gradient Boosting Regressor</w:t>
      </w:r>
    </w:p>
    <w:p w14:paraId="7029FD88">
      <w:pPr>
        <w:spacing w:after="120"/>
        <w:jc w:val="both"/>
      </w:pPr>
      <w:r>
        <w:t>Gradient Boosting builds an ensemble of weak learners (shallow decision trees) sequentially. Each new tree is trained to correct the residual errors of the previous ensemble, using gradient descent in function space to minimize a differentiable loss function (MSE for regression).</w:t>
      </w:r>
    </w:p>
    <w:p w14:paraId="15F04524">
      <w:pPr>
        <w:spacing w:after="60"/>
        <w:jc w:val="both"/>
      </w:pPr>
    </w:p>
    <w:p w14:paraId="3D993DEF">
      <w:pPr>
        <w:spacing w:after="120"/>
        <w:jc w:val="both"/>
      </w:pPr>
      <w:r>
        <w:rPr>
          <w:b/>
          <w:bCs/>
        </w:rPr>
        <w:t>Hyperparameters used:</w:t>
      </w:r>
    </w:p>
    <w:p w14:paraId="3AE9DB15">
      <w:pPr>
        <w:pStyle w:val="18"/>
        <w:numPr>
          <w:ilvl w:val="0"/>
          <w:numId w:val="1"/>
        </w:numPr>
        <w:spacing w:after="80"/>
        <w:jc w:val="both"/>
      </w:pPr>
      <w:r>
        <w:t>n_estimators = 100  (number of boosting stages)</w:t>
      </w:r>
    </w:p>
    <w:p w14:paraId="388685A1">
      <w:pPr>
        <w:pStyle w:val="18"/>
        <w:numPr>
          <w:ilvl w:val="0"/>
          <w:numId w:val="1"/>
        </w:numPr>
        <w:spacing w:after="80"/>
        <w:jc w:val="both"/>
      </w:pPr>
      <w:r>
        <w:t>random_state = 42  (reproducibility)</w:t>
      </w:r>
    </w:p>
    <w:p w14:paraId="1BC13287">
      <w:pPr>
        <w:spacing w:after="60"/>
        <w:jc w:val="both"/>
      </w:pPr>
    </w:p>
    <w:p w14:paraId="5DBC31FE">
      <w:pPr>
        <w:spacing w:after="120"/>
        <w:jc w:val="both"/>
      </w:pPr>
      <w:r>
        <w:rPr>
          <w:b/>
          <w:bCs/>
        </w:rPr>
        <w:t>Advantages:</w:t>
      </w:r>
    </w:p>
    <w:p w14:paraId="17D6CC05">
      <w:pPr>
        <w:pStyle w:val="18"/>
        <w:numPr>
          <w:ilvl w:val="0"/>
          <w:numId w:val="1"/>
        </w:numPr>
        <w:spacing w:after="80"/>
        <w:jc w:val="both"/>
      </w:pPr>
      <w:r>
        <w:t>Often achieves higher accuracy than Random Forest on structured/tabular data</w:t>
      </w:r>
    </w:p>
    <w:p w14:paraId="265DA121">
      <w:pPr>
        <w:pStyle w:val="18"/>
        <w:numPr>
          <w:ilvl w:val="0"/>
          <w:numId w:val="1"/>
        </w:numPr>
        <w:spacing w:after="80"/>
        <w:jc w:val="both"/>
      </w:pPr>
      <w:r>
        <w:t>Minimizes bias progressively with each iteration</w:t>
      </w:r>
    </w:p>
    <w:p w14:paraId="70FB2323">
      <w:pPr>
        <w:pStyle w:val="18"/>
        <w:numPr>
          <w:ilvl w:val="0"/>
          <w:numId w:val="1"/>
        </w:numPr>
        <w:spacing w:after="80"/>
        <w:jc w:val="both"/>
      </w:pPr>
      <w:r>
        <w:t>Flexible — can optimize any differentiable loss function</w:t>
      </w:r>
    </w:p>
    <w:p w14:paraId="6D7FDFBC">
      <w:pPr>
        <w:spacing w:after="60"/>
        <w:jc w:val="both"/>
      </w:pPr>
    </w:p>
    <w:p w14:paraId="5DB73066">
      <w:pPr>
        <w:spacing w:after="120"/>
        <w:jc w:val="both"/>
      </w:pPr>
      <w:r>
        <w:t>Gradient Boosting achieved an intermediate R² of approximately 0.42, placing it between Linear Regression and Random Forest for this dataset.</w:t>
      </w:r>
    </w:p>
    <w:p w14:paraId="57C891B2">
      <w:pPr>
        <w:spacing w:after="120"/>
        <w:jc w:val="both"/>
      </w:pPr>
      <w:r>
        <w:rPr>
          <w:b/>
          <w:bCs/>
        </w:rPr>
        <w:t>Result:  R² ≈ 0.420 | MAE ≈ 15.20 | RMSE ≈ 21.50</w:t>
      </w:r>
    </w:p>
    <w:p w14:paraId="1B4F99AF">
      <w:pPr>
        <w:jc w:val="both"/>
        <w:rPr>
          <w:color w:val="auto"/>
        </w:rPr>
      </w:pPr>
    </w:p>
    <w:p w14:paraId="2EF48D5F">
      <w:pPr>
        <w:pStyle w:val="2"/>
        <w:spacing w:before="280" w:after="160"/>
        <w:jc w:val="both"/>
        <w:rPr>
          <w:color w:val="auto"/>
        </w:rPr>
      </w:pPr>
      <w:r>
        <w:rPr>
          <w:color w:val="auto"/>
        </w:rPr>
        <w:t>4.  Evaluation Metrics Used</w:t>
      </w:r>
    </w:p>
    <w:p w14:paraId="5B40E8C0">
      <w:pPr>
        <w:spacing w:after="120"/>
        <w:jc w:val="both"/>
      </w:pPr>
      <w:r>
        <w:t>All three models were evaluated on the held-out test set (20% of clean data = 1,603 samples) using the following four metrics:</w:t>
      </w:r>
    </w:p>
    <w:p w14:paraId="642DF081">
      <w:pPr>
        <w:spacing w:after="80"/>
        <w:jc w:val="both"/>
      </w:pPr>
    </w:p>
    <w:p w14:paraId="51706E23">
      <w:pPr>
        <w:pStyle w:val="3"/>
        <w:spacing w:after="120"/>
        <w:jc w:val="both"/>
        <w:rPr>
          <w:color w:val="auto"/>
        </w:rPr>
      </w:pPr>
      <w:r>
        <w:rPr>
          <w:color w:val="auto"/>
        </w:rPr>
        <w:t>4.1  Mean Absolute Error (MAE)</w:t>
      </w:r>
    </w:p>
    <w:p w14:paraId="613E166B">
      <w:pPr>
        <w:spacing w:after="120"/>
        <w:jc w:val="both"/>
      </w:pPr>
      <w:r>
        <w:t>MAE measures the average magnitude of errors between predicted and actual values, without considering direction. It gives equal weight to all errors.</w:t>
      </w:r>
    </w:p>
    <w:p w14:paraId="25EF01AE">
      <w:pPr>
        <w:spacing w:after="80"/>
        <w:jc w:val="both"/>
      </w:pPr>
      <w:r>
        <w:rPr>
          <w:b/>
          <w:bCs/>
          <w:color w:val="1F4E79"/>
        </w:rPr>
        <w:t>MAE = (1/n) × Σ |yᵢ − ŷᵢ|</w:t>
      </w:r>
    </w:p>
    <w:p w14:paraId="5D203EE2">
      <w:pPr>
        <w:spacing w:after="120"/>
        <w:jc w:val="both"/>
      </w:pPr>
      <w:r>
        <w:t>A lower MAE indicates better accuracy. MAE is easy to interpret as it is in the same unit as the target (Wh).</w:t>
      </w:r>
    </w:p>
    <w:p w14:paraId="391959AA">
      <w:pPr>
        <w:spacing w:after="80"/>
        <w:jc w:val="both"/>
      </w:pPr>
    </w:p>
    <w:p w14:paraId="1C91A860">
      <w:pPr>
        <w:pStyle w:val="3"/>
        <w:spacing w:after="120"/>
        <w:jc w:val="both"/>
        <w:rPr>
          <w:color w:val="auto"/>
        </w:rPr>
      </w:pPr>
      <w:r>
        <w:rPr>
          <w:color w:val="auto"/>
        </w:rPr>
        <w:t>4.2  Mean Squared Error (MSE)</w:t>
      </w:r>
    </w:p>
    <w:p w14:paraId="1AF527A5">
      <w:pPr>
        <w:spacing w:after="120"/>
        <w:jc w:val="both"/>
      </w:pPr>
      <w:r>
        <w:t>MSE measures the average of the squared differences between predicted and actual values. Squaring amplifies larger errors, making MSE more sensitive to outliers than MAE.</w:t>
      </w:r>
    </w:p>
    <w:p w14:paraId="49FEA455">
      <w:pPr>
        <w:spacing w:after="80"/>
        <w:jc w:val="both"/>
      </w:pPr>
      <w:r>
        <w:rPr>
          <w:b/>
          <w:bCs/>
          <w:color w:val="1F4E79"/>
        </w:rPr>
        <w:t>MSE = (1/n) × Σ (yᵢ − ŷᵢ)²</w:t>
      </w:r>
    </w:p>
    <w:p w14:paraId="48F31DFB">
      <w:pPr>
        <w:spacing w:after="120"/>
        <w:jc w:val="both"/>
      </w:pPr>
      <w:r>
        <w:t>MSE is useful for comparing model variance. Lower MSE is better.</w:t>
      </w:r>
    </w:p>
    <w:p w14:paraId="31D1FC81">
      <w:pPr>
        <w:spacing w:after="80"/>
        <w:jc w:val="both"/>
      </w:pPr>
    </w:p>
    <w:p w14:paraId="5FD09DEE">
      <w:pPr>
        <w:pStyle w:val="3"/>
        <w:spacing w:after="120"/>
        <w:jc w:val="both"/>
        <w:rPr>
          <w:color w:val="auto"/>
        </w:rPr>
      </w:pPr>
      <w:r>
        <w:rPr>
          <w:color w:val="auto"/>
        </w:rPr>
        <w:t>4.3  Root Mean Squared Error (RMSE)</w:t>
      </w:r>
    </w:p>
    <w:p w14:paraId="61478EB9">
      <w:pPr>
        <w:spacing w:after="120"/>
        <w:jc w:val="both"/>
      </w:pPr>
      <w:r>
        <w:t>RMSE is the square root of MSE, bringing the error metric back to the same scale as the target variable. It penalizes larger errors more than MAE.</w:t>
      </w:r>
    </w:p>
    <w:p w14:paraId="113B3231">
      <w:pPr>
        <w:spacing w:after="80"/>
        <w:jc w:val="both"/>
      </w:pPr>
      <w:r>
        <w:rPr>
          <w:b/>
          <w:bCs/>
          <w:color w:val="1F4E79"/>
        </w:rPr>
        <w:t>RMSE = √[(1/n) × Σ (yᵢ − ŷᵢ)²]</w:t>
      </w:r>
    </w:p>
    <w:p w14:paraId="27013341">
      <w:pPr>
        <w:spacing w:after="120"/>
        <w:jc w:val="both"/>
      </w:pPr>
      <w:r>
        <w:t>RMSE is particularly useful when large prediction errors are especially undesirable. Lower RMSE is better.</w:t>
      </w:r>
    </w:p>
    <w:p w14:paraId="741819F4">
      <w:pPr>
        <w:spacing w:after="80"/>
        <w:jc w:val="both"/>
      </w:pPr>
    </w:p>
    <w:p w14:paraId="5BA8A192">
      <w:pPr>
        <w:pStyle w:val="3"/>
        <w:spacing w:after="120"/>
        <w:jc w:val="both"/>
        <w:rPr>
          <w:color w:val="auto"/>
        </w:rPr>
      </w:pPr>
      <w:r>
        <w:rPr>
          <w:color w:val="auto"/>
        </w:rPr>
        <w:t>4.4  R² Score (Coefficient of Determination)</w:t>
      </w:r>
    </w:p>
    <w:p w14:paraId="6F4B48A9">
      <w:pPr>
        <w:spacing w:after="120"/>
        <w:jc w:val="both"/>
      </w:pPr>
      <w:r>
        <w:t>R² indicates the proportion of the variance in the dependent variable that is predictable from the independent variables. It quantifies how well the model explains the variability of the target.</w:t>
      </w:r>
    </w:p>
    <w:p w14:paraId="362F6771">
      <w:pPr>
        <w:spacing w:after="80"/>
        <w:jc w:val="both"/>
      </w:pPr>
      <w:r>
        <w:rPr>
          <w:b/>
          <w:bCs/>
          <w:color w:val="1F4E79"/>
        </w:rPr>
        <w:t>R² = 1 − (SS_res / SS_tot)</w:t>
      </w:r>
    </w:p>
    <w:p w14:paraId="53A03131">
      <w:pPr>
        <w:spacing w:after="120"/>
        <w:jc w:val="both"/>
      </w:pPr>
      <w:r>
        <w:t>R² ranges from 0 to 1 (higher is better). An R² of 1 means perfect prediction; 0 means the model predicts no better than the mean baseline. Negative R² indicates the model performs worse than a simple mean predictor.</w:t>
      </w:r>
    </w:p>
    <w:p w14:paraId="438C0828">
      <w:pPr>
        <w:spacing w:after="80"/>
        <w:jc w:val="both"/>
      </w:pPr>
    </w:p>
    <w:p w14:paraId="695E0673">
      <w:pPr>
        <w:spacing w:after="120"/>
        <w:jc w:val="both"/>
      </w:pPr>
      <w:r>
        <w:rPr>
          <w:b/>
          <w:bCs/>
        </w:rPr>
        <w:t>Comparative Results Table:</w:t>
      </w:r>
    </w:p>
    <w:p w14:paraId="572A53F3">
      <w:pPr>
        <w:spacing w:after="6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4"/>
        <w:gridCol w:w="1800"/>
        <w:gridCol w:w="1834"/>
        <w:gridCol w:w="1848"/>
        <w:gridCol w:w="1824"/>
      </w:tblGrid>
      <w:tr w14:paraId="3B32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F4E79" w:sz="0" w:space="0"/>
              <w:left w:val="single" w:color="1F4E79" w:sz="0" w:space="0"/>
              <w:bottom w:val="single" w:color="1F4E79" w:sz="0" w:space="0"/>
              <w:right w:val="single" w:color="1F4E79" w:sz="0" w:space="0"/>
            </w:tcBorders>
            <w:shd w:val="clear" w:color="auto" w:fill="1F4E79"/>
            <w:tcMar>
              <w:top w:w="90" w:type="dxa"/>
              <w:left w:w="120" w:type="dxa"/>
              <w:bottom w:w="90" w:type="dxa"/>
              <w:right w:w="120" w:type="dxa"/>
            </w:tcMar>
          </w:tcPr>
          <w:p w14:paraId="0DE379E1">
            <w:pPr>
              <w:jc w:val="both"/>
            </w:pPr>
            <w:r>
              <w:rPr>
                <w:b/>
                <w:bCs/>
                <w:color w:val="FFFFFF"/>
                <w:sz w:val="20"/>
                <w:szCs w:val="20"/>
              </w:rPr>
              <w:t>Model</w:t>
            </w:r>
          </w:p>
        </w:tc>
        <w:tc>
          <w:tcPr>
            <w:tcW w:w="2600" w:type="dxa"/>
            <w:tcBorders>
              <w:top w:val="single" w:color="1F4E79" w:sz="0" w:space="0"/>
              <w:left w:val="single" w:color="1F4E79" w:sz="0" w:space="0"/>
              <w:bottom w:val="single" w:color="1F4E79" w:sz="0" w:space="0"/>
              <w:right w:val="single" w:color="1F4E79" w:sz="0" w:space="0"/>
            </w:tcBorders>
            <w:shd w:val="clear" w:color="auto" w:fill="1F4E79"/>
            <w:tcMar>
              <w:top w:w="90" w:type="dxa"/>
              <w:left w:w="120" w:type="dxa"/>
              <w:bottom w:w="90" w:type="dxa"/>
              <w:right w:w="120" w:type="dxa"/>
            </w:tcMar>
          </w:tcPr>
          <w:p w14:paraId="6AC77617">
            <w:pPr>
              <w:jc w:val="both"/>
            </w:pPr>
            <w:r>
              <w:rPr>
                <w:b/>
                <w:bCs/>
                <w:color w:val="FFFFFF"/>
                <w:sz w:val="20"/>
                <w:szCs w:val="20"/>
              </w:rPr>
              <w:t>MAE</w:t>
            </w:r>
          </w:p>
        </w:tc>
        <w:tc>
          <w:tcPr>
            <w:tcW w:w="2600" w:type="dxa"/>
            <w:tcBorders>
              <w:top w:val="single" w:color="1F4E79" w:sz="0" w:space="0"/>
              <w:left w:val="single" w:color="1F4E79" w:sz="0" w:space="0"/>
              <w:bottom w:val="single" w:color="1F4E79" w:sz="0" w:space="0"/>
              <w:right w:val="single" w:color="1F4E79" w:sz="0" w:space="0"/>
            </w:tcBorders>
            <w:shd w:val="clear" w:color="auto" w:fill="1F4E79"/>
            <w:tcMar>
              <w:top w:w="90" w:type="dxa"/>
              <w:left w:w="120" w:type="dxa"/>
              <w:bottom w:w="90" w:type="dxa"/>
              <w:right w:w="120" w:type="dxa"/>
            </w:tcMar>
          </w:tcPr>
          <w:p w14:paraId="010A49E5">
            <w:pPr>
              <w:jc w:val="both"/>
            </w:pPr>
            <w:r>
              <w:rPr>
                <w:b/>
                <w:bCs/>
                <w:color w:val="FFFFFF"/>
                <w:sz w:val="20"/>
                <w:szCs w:val="20"/>
              </w:rPr>
              <w:t>RMSE</w:t>
            </w:r>
          </w:p>
        </w:tc>
        <w:tc>
          <w:tcPr>
            <w:tcW w:w="2600" w:type="dxa"/>
            <w:tcBorders>
              <w:top w:val="single" w:color="1F4E79" w:sz="0" w:space="0"/>
              <w:left w:val="single" w:color="1F4E79" w:sz="0" w:space="0"/>
              <w:bottom w:val="single" w:color="1F4E79" w:sz="0" w:space="0"/>
              <w:right w:val="single" w:color="1F4E79" w:sz="0" w:space="0"/>
            </w:tcBorders>
            <w:shd w:val="clear" w:color="auto" w:fill="1F4E79"/>
            <w:tcMar>
              <w:top w:w="90" w:type="dxa"/>
              <w:left w:w="120" w:type="dxa"/>
              <w:bottom w:w="90" w:type="dxa"/>
              <w:right w:w="120" w:type="dxa"/>
            </w:tcMar>
          </w:tcPr>
          <w:p w14:paraId="02C17B49">
            <w:pPr>
              <w:jc w:val="both"/>
            </w:pPr>
            <w:r>
              <w:rPr>
                <w:b/>
                <w:bCs/>
                <w:color w:val="FFFFFF"/>
                <w:sz w:val="20"/>
                <w:szCs w:val="20"/>
              </w:rPr>
              <w:t>MSE</w:t>
            </w:r>
          </w:p>
        </w:tc>
        <w:tc>
          <w:tcPr>
            <w:tcW w:w="2600" w:type="dxa"/>
            <w:tcBorders>
              <w:top w:val="single" w:color="1F4E79" w:sz="0" w:space="0"/>
              <w:left w:val="single" w:color="1F4E79" w:sz="0" w:space="0"/>
              <w:bottom w:val="single" w:color="1F4E79" w:sz="0" w:space="0"/>
              <w:right w:val="single" w:color="1F4E79" w:sz="0" w:space="0"/>
            </w:tcBorders>
            <w:shd w:val="clear" w:color="auto" w:fill="1F4E79"/>
            <w:tcMar>
              <w:top w:w="90" w:type="dxa"/>
              <w:left w:w="120" w:type="dxa"/>
              <w:bottom w:w="90" w:type="dxa"/>
              <w:right w:w="120" w:type="dxa"/>
            </w:tcMar>
          </w:tcPr>
          <w:p w14:paraId="53A34FA0">
            <w:pPr>
              <w:jc w:val="both"/>
            </w:pPr>
            <w:r>
              <w:rPr>
                <w:b/>
                <w:bCs/>
                <w:color w:val="FFFFFF"/>
                <w:sz w:val="20"/>
                <w:szCs w:val="20"/>
              </w:rPr>
              <w:t>R² Score</w:t>
            </w:r>
          </w:p>
        </w:tc>
      </w:tr>
      <w:tr w14:paraId="4E7CA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4FF"/>
            <w:tcMar>
              <w:top w:w="80" w:type="dxa"/>
              <w:left w:w="120" w:type="dxa"/>
              <w:bottom w:w="80" w:type="dxa"/>
              <w:right w:w="120" w:type="dxa"/>
            </w:tcMar>
          </w:tcPr>
          <w:p w14:paraId="1BF08232">
            <w:pPr>
              <w:jc w:val="both"/>
            </w:pPr>
            <w:r>
              <w:rPr>
                <w:b/>
                <w:bCs/>
                <w:sz w:val="20"/>
                <w:szCs w:val="20"/>
              </w:rPr>
              <w:t>Linear Regression</w:t>
            </w:r>
          </w:p>
        </w:tc>
        <w:tc>
          <w:tcPr>
            <w:tcW w:w="1690" w:type="dxa"/>
            <w:tcBorders>
              <w:top w:val="single" w:color="AAAAAA" w:sz="0" w:space="0"/>
              <w:left w:val="single" w:color="AAAAAA" w:sz="0" w:space="0"/>
              <w:bottom w:val="single" w:color="AAAAAA" w:sz="0" w:space="0"/>
              <w:right w:val="single" w:color="AAAAAA" w:sz="0" w:space="0"/>
            </w:tcBorders>
            <w:shd w:val="clear" w:color="auto" w:fill="EBF4FF"/>
            <w:tcMar>
              <w:top w:w="80" w:type="dxa"/>
              <w:left w:w="120" w:type="dxa"/>
              <w:bottom w:w="80" w:type="dxa"/>
              <w:right w:w="120" w:type="dxa"/>
            </w:tcMar>
          </w:tcPr>
          <w:p w14:paraId="74BF6F4F">
            <w:pPr>
              <w:jc w:val="both"/>
            </w:pPr>
            <w:r>
              <w:rPr>
                <w:sz w:val="20"/>
                <w:szCs w:val="20"/>
              </w:rPr>
              <w:t>20.77</w:t>
            </w:r>
          </w:p>
        </w:tc>
        <w:tc>
          <w:tcPr>
            <w:tcW w:w="1690" w:type="dxa"/>
            <w:tcBorders>
              <w:top w:val="single" w:color="AAAAAA" w:sz="0" w:space="0"/>
              <w:left w:val="single" w:color="AAAAAA" w:sz="0" w:space="0"/>
              <w:bottom w:val="single" w:color="AAAAAA" w:sz="0" w:space="0"/>
              <w:right w:val="single" w:color="AAAAAA" w:sz="0" w:space="0"/>
            </w:tcBorders>
            <w:shd w:val="clear" w:color="auto" w:fill="EBF4FF"/>
            <w:tcMar>
              <w:top w:w="80" w:type="dxa"/>
              <w:left w:w="120" w:type="dxa"/>
              <w:bottom w:w="80" w:type="dxa"/>
              <w:right w:w="120" w:type="dxa"/>
            </w:tcMar>
          </w:tcPr>
          <w:p w14:paraId="6F1E1DE9">
            <w:pPr>
              <w:jc w:val="both"/>
            </w:pPr>
            <w:r>
              <w:rPr>
                <w:sz w:val="20"/>
                <w:szCs w:val="20"/>
              </w:rPr>
              <w:t>27.54</w:t>
            </w:r>
          </w:p>
        </w:tc>
        <w:tc>
          <w:tcPr>
            <w:tcW w:w="1690" w:type="dxa"/>
            <w:tcBorders>
              <w:top w:val="single" w:color="AAAAAA" w:sz="0" w:space="0"/>
              <w:left w:val="single" w:color="AAAAAA" w:sz="0" w:space="0"/>
              <w:bottom w:val="single" w:color="AAAAAA" w:sz="0" w:space="0"/>
              <w:right w:val="single" w:color="AAAAAA" w:sz="0" w:space="0"/>
            </w:tcBorders>
            <w:shd w:val="clear" w:color="auto" w:fill="EBF4FF"/>
            <w:tcMar>
              <w:top w:w="80" w:type="dxa"/>
              <w:left w:w="120" w:type="dxa"/>
              <w:bottom w:w="80" w:type="dxa"/>
              <w:right w:w="120" w:type="dxa"/>
            </w:tcMar>
          </w:tcPr>
          <w:p w14:paraId="716E695B">
            <w:pPr>
              <w:jc w:val="both"/>
            </w:pPr>
            <w:r>
              <w:rPr>
                <w:sz w:val="20"/>
                <w:szCs w:val="20"/>
              </w:rPr>
              <w:t>758.56</w:t>
            </w:r>
          </w:p>
        </w:tc>
        <w:tc>
          <w:tcPr>
            <w:tcW w:w="1690" w:type="dxa"/>
            <w:tcBorders>
              <w:top w:val="single" w:color="AAAAAA" w:sz="0" w:space="0"/>
              <w:left w:val="single" w:color="AAAAAA" w:sz="0" w:space="0"/>
              <w:bottom w:val="single" w:color="AAAAAA" w:sz="0" w:space="0"/>
              <w:right w:val="single" w:color="AAAAAA" w:sz="0" w:space="0"/>
            </w:tcBorders>
            <w:shd w:val="clear" w:color="auto" w:fill="EBF4FF"/>
            <w:tcMar>
              <w:top w:w="80" w:type="dxa"/>
              <w:left w:w="120" w:type="dxa"/>
              <w:bottom w:w="80" w:type="dxa"/>
              <w:right w:w="120" w:type="dxa"/>
            </w:tcMar>
          </w:tcPr>
          <w:p w14:paraId="33CCAFAF">
            <w:pPr>
              <w:jc w:val="both"/>
            </w:pPr>
            <w:r>
              <w:rPr>
                <w:sz w:val="20"/>
                <w:szCs w:val="20"/>
              </w:rPr>
              <w:t>0.197</w:t>
            </w:r>
          </w:p>
        </w:tc>
      </w:tr>
      <w:tr w14:paraId="7708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203F7437">
            <w:pPr>
              <w:jc w:val="both"/>
            </w:pPr>
            <w:r>
              <w:rPr>
                <w:b/>
                <w:bCs/>
                <w:sz w:val="20"/>
                <w:szCs w:val="20"/>
              </w:rPr>
              <w:t>Random Forest</w:t>
            </w:r>
          </w:p>
        </w:tc>
        <w:tc>
          <w:tcPr>
            <w:tcW w:w="169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3D5A244B">
            <w:pPr>
              <w:jc w:val="both"/>
            </w:pPr>
            <w:r>
              <w:rPr>
                <w:sz w:val="20"/>
                <w:szCs w:val="20"/>
              </w:rPr>
              <w:t>13.84</w:t>
            </w:r>
          </w:p>
        </w:tc>
        <w:tc>
          <w:tcPr>
            <w:tcW w:w="169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462F2192">
            <w:pPr>
              <w:jc w:val="both"/>
            </w:pPr>
            <w:r>
              <w:rPr>
                <w:sz w:val="20"/>
                <w:szCs w:val="20"/>
              </w:rPr>
              <w:t>19.85</w:t>
            </w:r>
          </w:p>
        </w:tc>
        <w:tc>
          <w:tcPr>
            <w:tcW w:w="169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1927AD17">
            <w:pPr>
              <w:jc w:val="both"/>
            </w:pPr>
            <w:r>
              <w:rPr>
                <w:sz w:val="20"/>
                <w:szCs w:val="20"/>
              </w:rPr>
              <w:t>393.86</w:t>
            </w:r>
          </w:p>
        </w:tc>
        <w:tc>
          <w:tcPr>
            <w:tcW w:w="1690" w:type="dxa"/>
            <w:tcBorders>
              <w:top w:val="single" w:color="AAAAAA" w:sz="0" w:space="0"/>
              <w:left w:val="single" w:color="AAAAAA" w:sz="0" w:space="0"/>
              <w:bottom w:val="single" w:color="AAAAAA" w:sz="0" w:space="0"/>
              <w:right w:val="single" w:color="AAAAAA" w:sz="0" w:space="0"/>
            </w:tcBorders>
            <w:shd w:val="clear" w:color="auto" w:fill="D6E4F7"/>
            <w:tcMar>
              <w:top w:w="80" w:type="dxa"/>
              <w:left w:w="120" w:type="dxa"/>
              <w:bottom w:w="80" w:type="dxa"/>
              <w:right w:w="120" w:type="dxa"/>
            </w:tcMar>
          </w:tcPr>
          <w:p w14:paraId="22281709">
            <w:pPr>
              <w:jc w:val="both"/>
            </w:pPr>
            <w:r>
              <w:rPr>
                <w:sz w:val="20"/>
                <w:szCs w:val="20"/>
              </w:rPr>
              <w:t>0.583</w:t>
            </w:r>
          </w:p>
        </w:tc>
      </w:tr>
      <w:tr w14:paraId="17AF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4FF"/>
            <w:tcMar>
              <w:top w:w="80" w:type="dxa"/>
              <w:left w:w="120" w:type="dxa"/>
              <w:bottom w:w="80" w:type="dxa"/>
              <w:right w:w="120" w:type="dxa"/>
            </w:tcMar>
          </w:tcPr>
          <w:p w14:paraId="1B217DCD">
            <w:pPr>
              <w:jc w:val="both"/>
            </w:pPr>
            <w:r>
              <w:rPr>
                <w:b/>
                <w:bCs/>
                <w:sz w:val="20"/>
                <w:szCs w:val="20"/>
              </w:rPr>
              <w:t>Gradient Boosting</w:t>
            </w:r>
          </w:p>
        </w:tc>
        <w:tc>
          <w:tcPr>
            <w:tcW w:w="1690" w:type="dxa"/>
            <w:tcBorders>
              <w:top w:val="single" w:color="AAAAAA" w:sz="0" w:space="0"/>
              <w:left w:val="single" w:color="AAAAAA" w:sz="0" w:space="0"/>
              <w:bottom w:val="single" w:color="AAAAAA" w:sz="0" w:space="0"/>
              <w:right w:val="single" w:color="AAAAAA" w:sz="0" w:space="0"/>
            </w:tcBorders>
            <w:shd w:val="clear" w:color="auto" w:fill="EBF4FF"/>
            <w:tcMar>
              <w:top w:w="80" w:type="dxa"/>
              <w:left w:w="120" w:type="dxa"/>
              <w:bottom w:w="80" w:type="dxa"/>
              <w:right w:w="120" w:type="dxa"/>
            </w:tcMar>
          </w:tcPr>
          <w:p w14:paraId="6EE3CF40">
            <w:pPr>
              <w:jc w:val="both"/>
            </w:pPr>
            <w:r>
              <w:rPr>
                <w:sz w:val="20"/>
                <w:szCs w:val="20"/>
              </w:rPr>
              <w:t>15.20</w:t>
            </w:r>
          </w:p>
        </w:tc>
        <w:tc>
          <w:tcPr>
            <w:tcW w:w="1690" w:type="dxa"/>
            <w:tcBorders>
              <w:top w:val="single" w:color="AAAAAA" w:sz="0" w:space="0"/>
              <w:left w:val="single" w:color="AAAAAA" w:sz="0" w:space="0"/>
              <w:bottom w:val="single" w:color="AAAAAA" w:sz="0" w:space="0"/>
              <w:right w:val="single" w:color="AAAAAA" w:sz="0" w:space="0"/>
            </w:tcBorders>
            <w:shd w:val="clear" w:color="auto" w:fill="EBF4FF"/>
            <w:tcMar>
              <w:top w:w="80" w:type="dxa"/>
              <w:left w:w="120" w:type="dxa"/>
              <w:bottom w:w="80" w:type="dxa"/>
              <w:right w:w="120" w:type="dxa"/>
            </w:tcMar>
          </w:tcPr>
          <w:p w14:paraId="3492C9C7">
            <w:pPr>
              <w:jc w:val="both"/>
            </w:pPr>
            <w:r>
              <w:rPr>
                <w:sz w:val="20"/>
                <w:szCs w:val="20"/>
              </w:rPr>
              <w:t>21.50</w:t>
            </w:r>
          </w:p>
        </w:tc>
        <w:tc>
          <w:tcPr>
            <w:tcW w:w="1690" w:type="dxa"/>
            <w:tcBorders>
              <w:top w:val="single" w:color="AAAAAA" w:sz="0" w:space="0"/>
              <w:left w:val="single" w:color="AAAAAA" w:sz="0" w:space="0"/>
              <w:bottom w:val="single" w:color="AAAAAA" w:sz="0" w:space="0"/>
              <w:right w:val="single" w:color="AAAAAA" w:sz="0" w:space="0"/>
            </w:tcBorders>
            <w:shd w:val="clear" w:color="auto" w:fill="EBF4FF"/>
            <w:tcMar>
              <w:top w:w="80" w:type="dxa"/>
              <w:left w:w="120" w:type="dxa"/>
              <w:bottom w:w="80" w:type="dxa"/>
              <w:right w:w="120" w:type="dxa"/>
            </w:tcMar>
          </w:tcPr>
          <w:p w14:paraId="7E53B71F">
            <w:pPr>
              <w:jc w:val="both"/>
            </w:pPr>
            <w:r>
              <w:rPr>
                <w:sz w:val="20"/>
                <w:szCs w:val="20"/>
              </w:rPr>
              <w:t>462.25</w:t>
            </w:r>
          </w:p>
        </w:tc>
        <w:tc>
          <w:tcPr>
            <w:tcW w:w="1690" w:type="dxa"/>
            <w:tcBorders>
              <w:top w:val="single" w:color="AAAAAA" w:sz="0" w:space="0"/>
              <w:left w:val="single" w:color="AAAAAA" w:sz="0" w:space="0"/>
              <w:bottom w:val="single" w:color="AAAAAA" w:sz="0" w:space="0"/>
              <w:right w:val="single" w:color="AAAAAA" w:sz="0" w:space="0"/>
            </w:tcBorders>
            <w:shd w:val="clear" w:color="auto" w:fill="EBF4FF"/>
            <w:tcMar>
              <w:top w:w="80" w:type="dxa"/>
              <w:left w:w="120" w:type="dxa"/>
              <w:bottom w:w="80" w:type="dxa"/>
              <w:right w:w="120" w:type="dxa"/>
            </w:tcMar>
          </w:tcPr>
          <w:p w14:paraId="6CA52CAD">
            <w:pPr>
              <w:jc w:val="both"/>
            </w:pPr>
            <w:r>
              <w:rPr>
                <w:sz w:val="20"/>
                <w:szCs w:val="20"/>
              </w:rPr>
              <w:t>0.420</w:t>
            </w:r>
          </w:p>
        </w:tc>
      </w:tr>
    </w:tbl>
    <w:p w14:paraId="4F17114D">
      <w:pPr>
        <w:spacing w:after="60"/>
        <w:jc w:val="both"/>
      </w:pPr>
    </w:p>
    <w:p w14:paraId="42FF9AA1">
      <w:pPr>
        <w:spacing w:after="80"/>
        <w:jc w:val="both"/>
      </w:pPr>
      <w:r>
        <w:rPr>
          <w:b/>
          <w:bCs/>
          <w:color w:val="1F4E79"/>
        </w:rPr>
        <w:t xml:space="preserve">Key Insight: </w:t>
      </w:r>
      <w:r>
        <w:t>Random Forest outperforms both Linear Regression and Gradient Boosting across all metrics, confirming that non-linear ensemble methods better capture the complex relationships in energy consumption data.</w:t>
      </w:r>
    </w:p>
    <w:p w14:paraId="279EFFDD">
      <w:pPr>
        <w:pStyle w:val="2"/>
        <w:spacing w:before="280" w:after="160"/>
        <w:jc w:val="both"/>
        <w:rPr>
          <w:color w:val="auto"/>
        </w:rPr>
      </w:pPr>
      <w:r>
        <w:rPr>
          <w:color w:val="auto"/>
        </w:rPr>
        <w:t>5.  Results and Visualizations</w:t>
      </w:r>
    </w:p>
    <w:p w14:paraId="19CA9A3A">
      <w:pPr>
        <w:pStyle w:val="3"/>
        <w:spacing w:after="120"/>
        <w:jc w:val="both"/>
      </w:pPr>
    </w:p>
    <w:p w14:paraId="0C8B6DDA">
      <w:pPr>
        <w:pStyle w:val="3"/>
        <w:spacing w:after="120"/>
        <w:jc w:val="both"/>
        <w:rPr>
          <w:color w:val="auto"/>
        </w:rPr>
      </w:pPr>
      <w:r>
        <w:rPr>
          <w:color w:val="auto"/>
        </w:rPr>
        <w:t>5.1  Correlation Heatmap</w:t>
      </w:r>
    </w:p>
    <w:p w14:paraId="5C02024F">
      <w:pPr>
        <w:spacing w:after="120"/>
        <w:jc w:val="both"/>
      </w:pPr>
      <w:r>
        <w:t>The heatmap below shows pairwise Pearson correlation coefficients between all 20 numerical features. Key observations: temperature features T1–T5 and T_out are strongly inter-correlated (0.53–0.68), indicating co-linearity. The target 'Appliances' has modest direct correlations with most features (highest: hour = 0.14, T2 = 0.09), suggesting non-linear feature interactions — which explains why ensemble models outperform Linear Regression.</w:t>
      </w:r>
    </w:p>
    <w:p w14:paraId="541F80CB">
      <w:pPr>
        <w:spacing w:after="80"/>
        <w:jc w:val="both"/>
      </w:pPr>
    </w:p>
    <w:p w14:paraId="579CBB65">
      <w:pPr>
        <w:spacing w:after="60"/>
        <w:jc w:val="both"/>
      </w:pPr>
      <w:r>
        <w:drawing>
          <wp:inline distT="0" distB="0" distL="0" distR="0">
            <wp:extent cx="5048250" cy="3333750"/>
            <wp:effectExtent l="0" t="0" r="0" b="0"/>
            <wp:docPr id="1" name="Fig. 2 — Correlation Heatmap of all numerical features" descr="Fig. 2 — Correlation Heatmap of all numerical features" title="Fig. 2 — Correlation Heatmap of all nume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2 — Correlation Heatmap of all numerical features" descr="Fig. 2 — Correlation Heatmap of all numerical features" title="Fig. 2 — Correlation Heatmap of all numerical features"/>
                    <pic:cNvPicPr>
                      <a:picLocks noChangeAspect="1" noChangeArrowheads="1"/>
                    </pic:cNvPicPr>
                  </pic:nvPicPr>
                  <pic:blipFill>
                    <a:blip r:embed="rId6"/>
                    <a:srcRect/>
                    <a:stretch>
                      <a:fillRect/>
                    </a:stretch>
                  </pic:blipFill>
                  <pic:spPr>
                    <a:xfrm>
                      <a:off x="0" y="0"/>
                      <a:ext cx="5048250" cy="3333750"/>
                    </a:xfrm>
                    <a:prstGeom prst="rect">
                      <a:avLst/>
                    </a:prstGeom>
                  </pic:spPr>
                </pic:pic>
              </a:graphicData>
            </a:graphic>
          </wp:inline>
        </w:drawing>
      </w:r>
    </w:p>
    <w:p w14:paraId="32CDEEC1">
      <w:pPr>
        <w:spacing w:after="200"/>
        <w:jc w:val="both"/>
      </w:pPr>
      <w:r>
        <w:rPr>
          <w:i/>
          <w:iCs/>
          <w:color w:val="555555"/>
          <w:sz w:val="18"/>
          <w:szCs w:val="18"/>
        </w:rPr>
        <w:t>Fig. 2 — Correlation Heatmap of all numerical features</w:t>
      </w:r>
    </w:p>
    <w:p w14:paraId="214D2C85">
      <w:pPr>
        <w:pStyle w:val="3"/>
        <w:spacing w:after="120"/>
        <w:jc w:val="both"/>
        <w:rPr>
          <w:color w:val="auto"/>
        </w:rPr>
      </w:pPr>
      <w:r>
        <w:rPr>
          <w:color w:val="auto"/>
        </w:rPr>
        <w:t>5.2  Model Comparison — R² Score</w:t>
      </w:r>
    </w:p>
    <w:p w14:paraId="28B1ABF5">
      <w:pPr>
        <w:spacing w:after="120"/>
        <w:jc w:val="both"/>
      </w:pPr>
      <w:r>
        <w:t>The bar chart compares R² Scores across Linear Regression, Random Forest, and Gradient Boosting. Random Forest (R² ≈ 0.583) clearly dominates, capturing over 58% of the variance in appliance energy usage. Linear Regression (R² ≈ 0.197) performs weakest, confirming that the feature-target relationships are inherently non-linear.</w:t>
      </w:r>
    </w:p>
    <w:p w14:paraId="431E8DFA">
      <w:pPr>
        <w:spacing w:after="80"/>
        <w:jc w:val="both"/>
      </w:pPr>
    </w:p>
    <w:p w14:paraId="06397D9A">
      <w:pPr>
        <w:spacing w:after="60"/>
        <w:jc w:val="both"/>
      </w:pPr>
      <w:r>
        <w:drawing>
          <wp:inline distT="0" distB="0" distL="0" distR="0">
            <wp:extent cx="3810000" cy="2667000"/>
            <wp:effectExtent l="0" t="0" r="0" b="0"/>
            <wp:docPr id="2" name="Fig. 3 — Model Comparison: R² Score (Higher is Better)" descr="Fig. 3 — Model Comparison: R² Score (Higher is Better)" title="Fig. 3 — Model Comparison: R² Score (High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3 — Model Comparison: R² Score (Higher is Better)" descr="Fig. 3 — Model Comparison: R² Score (Higher is Better)" title="Fig. 3 — Model Comparison: R² Score (Higher is Better)"/>
                    <pic:cNvPicPr>
                      <a:picLocks noChangeAspect="1" noChangeArrowheads="1"/>
                    </pic:cNvPicPr>
                  </pic:nvPicPr>
                  <pic:blipFill>
                    <a:blip r:embed="rId7"/>
                    <a:srcRect/>
                    <a:stretch>
                      <a:fillRect/>
                    </a:stretch>
                  </pic:blipFill>
                  <pic:spPr>
                    <a:xfrm>
                      <a:off x="0" y="0"/>
                      <a:ext cx="3810000" cy="2667000"/>
                    </a:xfrm>
                    <a:prstGeom prst="rect">
                      <a:avLst/>
                    </a:prstGeom>
                  </pic:spPr>
                </pic:pic>
              </a:graphicData>
            </a:graphic>
          </wp:inline>
        </w:drawing>
      </w:r>
    </w:p>
    <w:p w14:paraId="66941EE3">
      <w:pPr>
        <w:spacing w:after="200"/>
        <w:jc w:val="both"/>
      </w:pPr>
      <w:r>
        <w:rPr>
          <w:i/>
          <w:iCs/>
          <w:color w:val="555555"/>
          <w:sz w:val="18"/>
          <w:szCs w:val="18"/>
        </w:rPr>
        <w:t>Fig. 3 — Model Comparison: R² Score (Higher is Better)</w:t>
      </w:r>
    </w:p>
    <w:p w14:paraId="5B71CF2B">
      <w:pPr>
        <w:pStyle w:val="3"/>
        <w:spacing w:after="120"/>
        <w:jc w:val="both"/>
        <w:rPr>
          <w:color w:val="auto"/>
        </w:rPr>
      </w:pPr>
      <w:r>
        <w:rPr>
          <w:color w:val="auto"/>
        </w:rPr>
        <w:t>5.3  PCA — Cumulative Explained Variance</w:t>
      </w:r>
    </w:p>
    <w:p w14:paraId="38258342">
      <w:pPr>
        <w:spacing w:after="120"/>
        <w:jc w:val="both"/>
      </w:pPr>
      <w:r>
        <w:t>The cumulative variance plot demonstrates how many PCA components are needed to explain a given proportion of dataset variance. The dashed line at 95% variance shows that 13 components suffice, reducing the original 19-dimensional feature space significantly while retaining nearly all information. This justifies using PCA as an alternative feature reduction strategy.</w:t>
      </w:r>
    </w:p>
    <w:p w14:paraId="12293E44">
      <w:pPr>
        <w:spacing w:after="80"/>
        <w:jc w:val="both"/>
      </w:pPr>
    </w:p>
    <w:p w14:paraId="53466E86">
      <w:pPr>
        <w:spacing w:after="60"/>
        <w:jc w:val="both"/>
      </w:pPr>
      <w:r>
        <w:drawing>
          <wp:inline distT="0" distB="0" distL="0" distR="0">
            <wp:extent cx="3810000" cy="2667000"/>
            <wp:effectExtent l="0" t="0" r="0" b="0"/>
            <wp:docPr id="3" name="Fig. 4 — Cumulative Variance vs. Number of PCA Components" descr="Fig. 4 — Cumulative Variance vs. Number of PCA Components" title="Fig. 4 — Cumulative Variance vs. Number of PCA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 4 — Cumulative Variance vs. Number of PCA Components" descr="Fig. 4 — Cumulative Variance vs. Number of PCA Components" title="Fig. 4 — Cumulative Variance vs. Number of PCA Components"/>
                    <pic:cNvPicPr>
                      <a:picLocks noChangeAspect="1" noChangeArrowheads="1"/>
                    </pic:cNvPicPr>
                  </pic:nvPicPr>
                  <pic:blipFill>
                    <a:blip r:embed="rId8"/>
                    <a:srcRect/>
                    <a:stretch>
                      <a:fillRect/>
                    </a:stretch>
                  </pic:blipFill>
                  <pic:spPr>
                    <a:xfrm>
                      <a:off x="0" y="0"/>
                      <a:ext cx="3810000" cy="2667000"/>
                    </a:xfrm>
                    <a:prstGeom prst="rect">
                      <a:avLst/>
                    </a:prstGeom>
                  </pic:spPr>
                </pic:pic>
              </a:graphicData>
            </a:graphic>
          </wp:inline>
        </w:drawing>
      </w:r>
    </w:p>
    <w:p w14:paraId="500AF0E2">
      <w:pPr>
        <w:spacing w:after="200"/>
        <w:jc w:val="both"/>
      </w:pPr>
      <w:r>
        <w:rPr>
          <w:i/>
          <w:iCs/>
          <w:color w:val="555555"/>
          <w:sz w:val="18"/>
          <w:szCs w:val="18"/>
        </w:rPr>
        <w:t>Fig. 4 — Cumulative Variance vs. Number of PCA Components</w:t>
      </w:r>
    </w:p>
    <w:p w14:paraId="4EC7DEA6">
      <w:pPr>
        <w:pStyle w:val="3"/>
        <w:spacing w:after="120"/>
        <w:jc w:val="both"/>
        <w:rPr>
          <w:color w:val="auto"/>
        </w:rPr>
      </w:pPr>
      <w:r>
        <w:rPr>
          <w:color w:val="auto"/>
        </w:rPr>
        <w:t>5.4  PCA Scatter Plot — First 2 Principal Components</w:t>
      </w:r>
    </w:p>
    <w:p w14:paraId="64B56A42">
      <w:pPr>
        <w:spacing w:after="120"/>
        <w:jc w:val="both"/>
      </w:pPr>
      <w:r>
        <w:t>The scatter plot of PC1 vs PC2 visualizes all 8,014 clean data points in the reduced 2D PCA space. The roughly elliptical, dense cloud with no distinct clusters is consistent with a continuous regression target — the data varies gradually rather than forming discrete groups, reinforcing the choice of regression over classification.</w:t>
      </w:r>
    </w:p>
    <w:p w14:paraId="1EBA4BA8">
      <w:pPr>
        <w:spacing w:after="80"/>
        <w:jc w:val="both"/>
      </w:pPr>
    </w:p>
    <w:p w14:paraId="6BF53229">
      <w:pPr>
        <w:spacing w:after="60"/>
        <w:jc w:val="both"/>
      </w:pPr>
      <w:r>
        <w:drawing>
          <wp:inline distT="0" distB="0" distL="0" distR="0">
            <wp:extent cx="3429000" cy="2667000"/>
            <wp:effectExtent l="0" t="0" r="0" b="0"/>
            <wp:docPr id="4" name="Fig. 5 — Data Scatter Plot After PCA (PC1 vs PC2)" descr="Fig. 5 — Data Scatter Plot After PCA (PC1 vs PC2)" title="Fig. 5 — Data Scatter Plot After PCA (PC1 vs 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 5 — Data Scatter Plot After PCA (PC1 vs PC2)" descr="Fig. 5 — Data Scatter Plot After PCA (PC1 vs PC2)" title="Fig. 5 — Data Scatter Plot After PCA (PC1 vs PC2)"/>
                    <pic:cNvPicPr>
                      <a:picLocks noChangeAspect="1" noChangeArrowheads="1"/>
                    </pic:cNvPicPr>
                  </pic:nvPicPr>
                  <pic:blipFill>
                    <a:blip r:embed="rId9"/>
                    <a:srcRect/>
                    <a:stretch>
                      <a:fillRect/>
                    </a:stretch>
                  </pic:blipFill>
                  <pic:spPr>
                    <a:xfrm>
                      <a:off x="0" y="0"/>
                      <a:ext cx="3429000" cy="2667000"/>
                    </a:xfrm>
                    <a:prstGeom prst="rect">
                      <a:avLst/>
                    </a:prstGeom>
                  </pic:spPr>
                </pic:pic>
              </a:graphicData>
            </a:graphic>
          </wp:inline>
        </w:drawing>
      </w:r>
    </w:p>
    <w:p w14:paraId="38924FB2">
      <w:pPr>
        <w:spacing w:after="200"/>
        <w:jc w:val="both"/>
      </w:pPr>
      <w:r>
        <w:rPr>
          <w:i/>
          <w:iCs/>
          <w:color w:val="555555"/>
          <w:sz w:val="18"/>
          <w:szCs w:val="18"/>
        </w:rPr>
        <w:t>Fig. 5 — Data Scatter Plot After PCA (PC1 vs PC2)</w:t>
      </w:r>
    </w:p>
    <w:p w14:paraId="600842CB">
      <w:pPr>
        <w:pStyle w:val="3"/>
        <w:spacing w:after="120"/>
        <w:jc w:val="both"/>
        <w:rPr>
          <w:color w:val="auto"/>
        </w:rPr>
      </w:pPr>
      <w:r>
        <w:rPr>
          <w:color w:val="auto"/>
        </w:rPr>
        <w:t>5.5  Boxplots After Outlier Removal</w:t>
      </w:r>
    </w:p>
    <w:p w14:paraId="37F74B80">
      <w:pPr>
        <w:spacing w:after="120"/>
        <w:jc w:val="both"/>
      </w:pPr>
      <w:r>
        <w:t>The boxplots show the distributions of five key features (Appliances, lights, T1, T_out, Windspeed) after IQR-based outlier removal. The dataset was reduced from 13,572 to 8,014 rows. Compared to the pre-removal state, the distributions are now more compact and symmetric, with far fewer extreme values — improving model training stability and generalization.</w:t>
      </w:r>
    </w:p>
    <w:p w14:paraId="25183A9A">
      <w:pPr>
        <w:spacing w:after="80"/>
        <w:jc w:val="both"/>
      </w:pPr>
    </w:p>
    <w:p w14:paraId="2D8CFC44">
      <w:pPr>
        <w:spacing w:after="60"/>
        <w:jc w:val="both"/>
      </w:pPr>
      <w:r>
        <w:drawing>
          <wp:inline distT="0" distB="0" distL="0" distR="0">
            <wp:extent cx="4953000" cy="1905000"/>
            <wp:effectExtent l="0" t="0" r="0" b="0"/>
            <wp:docPr id="5" name="Fig. 6 — Boxplots of Key Features After Outlier Removal (IQR method)" descr="Fig. 6 — Boxplots of Key Features After Outlier Removal (IQR method)" title="Fig. 6 — Boxplots of Key Features After Outlier Removal (IQ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 6 — Boxplots of Key Features After Outlier Removal (IQR method)" descr="Fig. 6 — Boxplots of Key Features After Outlier Removal (IQR method)" title="Fig. 6 — Boxplots of Key Features After Outlier Removal (IQR method)"/>
                    <pic:cNvPicPr>
                      <a:picLocks noChangeAspect="1" noChangeArrowheads="1"/>
                    </pic:cNvPicPr>
                  </pic:nvPicPr>
                  <pic:blipFill>
                    <a:blip r:embed="rId10"/>
                    <a:srcRect/>
                    <a:stretch>
                      <a:fillRect/>
                    </a:stretch>
                  </pic:blipFill>
                  <pic:spPr>
                    <a:xfrm>
                      <a:off x="0" y="0"/>
                      <a:ext cx="4953000" cy="1905000"/>
                    </a:xfrm>
                    <a:prstGeom prst="rect">
                      <a:avLst/>
                    </a:prstGeom>
                  </pic:spPr>
                </pic:pic>
              </a:graphicData>
            </a:graphic>
          </wp:inline>
        </w:drawing>
      </w:r>
    </w:p>
    <w:p w14:paraId="67E94F65">
      <w:pPr>
        <w:spacing w:after="60"/>
        <w:jc w:val="both"/>
      </w:pPr>
    </w:p>
    <w:p w14:paraId="14B679C6">
      <w:pPr>
        <w:spacing w:after="200"/>
        <w:jc w:val="both"/>
        <w:rPr>
          <w:i/>
          <w:iCs/>
          <w:color w:val="555555"/>
          <w:sz w:val="18"/>
          <w:szCs w:val="18"/>
        </w:rPr>
      </w:pPr>
      <w:r>
        <w:rPr>
          <w:i/>
          <w:iCs/>
          <w:color w:val="555555"/>
          <w:sz w:val="18"/>
          <w:szCs w:val="18"/>
        </w:rPr>
        <w:t>Fig. 6 — Boxplots of Key Features After Outlier Removal (IQR method)</w:t>
      </w:r>
    </w:p>
    <w:p w14:paraId="026B5486">
      <w:pPr>
        <w:pStyle w:val="3"/>
        <w:spacing w:after="120"/>
        <w:jc w:val="both"/>
        <w:rPr>
          <w:color w:val="auto"/>
        </w:rPr>
      </w:pPr>
      <w:r>
        <w:rPr>
          <w:color w:val="auto"/>
        </w:rPr>
        <w:t xml:space="preserve">5.6  Result </w:t>
      </w:r>
    </w:p>
    <w:p w14:paraId="57D0561D">
      <w:pPr>
        <w:jc w:val="both"/>
      </w:pPr>
      <w:r>
        <w:drawing>
          <wp:inline distT="0" distB="0" distL="0" distR="0">
            <wp:extent cx="6126480" cy="3446145"/>
            <wp:effectExtent l="0" t="0" r="7620" b="1905"/>
            <wp:docPr id="105805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55628" name="Picture 1"/>
                    <pic:cNvPicPr>
                      <a:picLocks noChangeAspect="1"/>
                    </pic:cNvPicPr>
                  </pic:nvPicPr>
                  <pic:blipFill>
                    <a:blip r:embed="rId11"/>
                    <a:stretch>
                      <a:fillRect/>
                    </a:stretch>
                  </pic:blipFill>
                  <pic:spPr>
                    <a:xfrm>
                      <a:off x="0" y="0"/>
                      <a:ext cx="6126480" cy="3446145"/>
                    </a:xfrm>
                    <a:prstGeom prst="rect">
                      <a:avLst/>
                    </a:prstGeom>
                  </pic:spPr>
                </pic:pic>
              </a:graphicData>
            </a:graphic>
          </wp:inline>
        </w:drawing>
      </w:r>
    </w:p>
    <w:p w14:paraId="6E514C07">
      <w:pPr>
        <w:jc w:val="both"/>
      </w:pPr>
    </w:p>
    <w:p w14:paraId="177BA525">
      <w:pPr>
        <w:jc w:val="both"/>
      </w:pPr>
    </w:p>
    <w:p w14:paraId="056B8900">
      <w:pPr>
        <w:jc w:val="both"/>
      </w:pPr>
      <w:r>
        <w:rPr>
          <w:b/>
          <w:bCs/>
          <w:sz w:val="32"/>
          <w:szCs w:val="32"/>
        </w:rPr>
        <w:t>6.  Conclusion and Future Scope</w:t>
      </w:r>
    </w:p>
    <w:p w14:paraId="09737675">
      <w:pPr>
        <w:pStyle w:val="3"/>
        <w:spacing w:after="120"/>
        <w:jc w:val="both"/>
      </w:pPr>
    </w:p>
    <w:p w14:paraId="2D94157C">
      <w:pPr>
        <w:pStyle w:val="3"/>
        <w:spacing w:after="120"/>
        <w:jc w:val="both"/>
        <w:rPr>
          <w:color w:val="auto"/>
        </w:rPr>
      </w:pPr>
      <w:r>
        <w:rPr>
          <w:color w:val="auto"/>
        </w:rPr>
        <w:t>6.1  Conclusion</w:t>
      </w:r>
    </w:p>
    <w:p w14:paraId="25090B9E">
      <w:pPr>
        <w:spacing w:after="120"/>
        <w:jc w:val="both"/>
      </w:pPr>
      <w:r>
        <w:t>This project successfully designed and implemented an end-to-end machine learning regression pipeline to predict appliance energy consumption from environmental and temporal sensor data. The key findings are:</w:t>
      </w:r>
    </w:p>
    <w:p w14:paraId="670F7082">
      <w:pPr>
        <w:spacing w:after="40"/>
        <w:jc w:val="both"/>
      </w:pPr>
    </w:p>
    <w:p w14:paraId="565C0956">
      <w:pPr>
        <w:pStyle w:val="18"/>
        <w:numPr>
          <w:ilvl w:val="0"/>
          <w:numId w:val="1"/>
        </w:numPr>
        <w:spacing w:after="80"/>
        <w:jc w:val="both"/>
      </w:pPr>
      <w:r>
        <w:t>Data Preprocessing was critical — handling 140+ missing date entries, 14 duplicate rows, and imputing missing values across all columns using skewness-based strategies preserved data quality.</w:t>
      </w:r>
    </w:p>
    <w:p w14:paraId="23DF077A">
      <w:pPr>
        <w:pStyle w:val="18"/>
        <w:numPr>
          <w:ilvl w:val="0"/>
          <w:numId w:val="1"/>
        </w:numPr>
        <w:spacing w:after="80"/>
        <w:jc w:val="both"/>
      </w:pPr>
      <w:r>
        <w:t>Outlier removal using the IQR method reduced the dataset from 13,572 to 8,014 records, significantly improving model training stability.</w:t>
      </w:r>
    </w:p>
    <w:p w14:paraId="3E2EA7FD">
      <w:pPr>
        <w:pStyle w:val="18"/>
        <w:numPr>
          <w:ilvl w:val="0"/>
          <w:numId w:val="1"/>
        </w:numPr>
        <w:spacing w:after="80"/>
        <w:jc w:val="both"/>
      </w:pPr>
      <w:r>
        <w:t>Feature selection using Forward Sequential Selection identified 9 most informative features (T1, RH_1, RH_2, T3, RH_3, RH_out, Press_mm_hg, hour, month), while PCA retained 95% variance in just 13 components.</w:t>
      </w:r>
    </w:p>
    <w:p w14:paraId="1EEF787E">
      <w:pPr>
        <w:pStyle w:val="18"/>
        <w:numPr>
          <w:ilvl w:val="0"/>
          <w:numId w:val="1"/>
        </w:numPr>
        <w:spacing w:after="80"/>
        <w:jc w:val="both"/>
      </w:pPr>
      <w:r>
        <w:t>Among the three models tested, Random Forest Regressor achieved the best performance (R² = 0.583, MAE = 13.84 Wh, RMSE = 19.85 Wh), outperforming both Linear Regression (R² = 0.197) and Gradient Boosting (R² ≈ 0.42).</w:t>
      </w:r>
    </w:p>
    <w:p w14:paraId="63EE3C9C">
      <w:pPr>
        <w:pStyle w:val="18"/>
        <w:numPr>
          <w:ilvl w:val="0"/>
          <w:numId w:val="1"/>
        </w:numPr>
        <w:spacing w:after="80"/>
        <w:jc w:val="both"/>
      </w:pPr>
      <w:r>
        <w:t>The low R² values across all models (below 0.6) indicate that energy consumption has inherent stochasticity — appliance usage is heavily influenced by occupant behavior, which cannot be fully captured by environmental sensors alone.</w:t>
      </w:r>
    </w:p>
    <w:p w14:paraId="45980769">
      <w:pPr>
        <w:spacing w:after="80"/>
        <w:jc w:val="both"/>
      </w:pPr>
    </w:p>
    <w:p w14:paraId="74611FB5">
      <w:pPr>
        <w:pStyle w:val="3"/>
        <w:spacing w:after="120"/>
        <w:jc w:val="both"/>
        <w:rPr>
          <w:color w:val="auto"/>
        </w:rPr>
      </w:pPr>
      <w:r>
        <w:rPr>
          <w:color w:val="auto"/>
        </w:rPr>
        <w:t>6.2  Future Scope</w:t>
      </w:r>
    </w:p>
    <w:p w14:paraId="4D0A576B">
      <w:pPr>
        <w:spacing w:after="120"/>
        <w:jc w:val="both"/>
      </w:pPr>
      <w:r>
        <w:t>Several directions can improve this system further:</w:t>
      </w:r>
    </w:p>
    <w:p w14:paraId="20C876AB">
      <w:pPr>
        <w:spacing w:after="40"/>
        <w:jc w:val="both"/>
      </w:pPr>
    </w:p>
    <w:p w14:paraId="457D4CF2">
      <w:pPr>
        <w:pStyle w:val="18"/>
        <w:numPr>
          <w:ilvl w:val="0"/>
          <w:numId w:val="1"/>
        </w:numPr>
        <w:spacing w:after="80"/>
        <w:jc w:val="both"/>
      </w:pPr>
      <w:r>
        <w:t>Hyperparameter Tuning: Apply GridSearchCV or RandomizedSearchCV to optimize n_estimators, max_depth, learning_rate for Random Forest and Gradient Boosting — potentially improving R² beyond 0.7.</w:t>
      </w:r>
    </w:p>
    <w:p w14:paraId="72FDBD0C">
      <w:pPr>
        <w:pStyle w:val="18"/>
        <w:numPr>
          <w:ilvl w:val="0"/>
          <w:numId w:val="1"/>
        </w:numPr>
        <w:spacing w:after="80"/>
        <w:jc w:val="both"/>
      </w:pPr>
      <w:r>
        <w:t>Deep Learning Models: Implement LSTM (Long Short-Term Memory) networks to exploit the temporal/sequential nature of the time-series energy data, which traditional ML models cannot leverage.</w:t>
      </w:r>
    </w:p>
    <w:p w14:paraId="0B4A6D19">
      <w:pPr>
        <w:pStyle w:val="18"/>
        <w:numPr>
          <w:ilvl w:val="0"/>
          <w:numId w:val="1"/>
        </w:numPr>
        <w:spacing w:after="80"/>
        <w:jc w:val="both"/>
      </w:pPr>
      <w:r>
        <w:t>Additional Features: Incorporate occupancy data, appliance schedules, or smart meter readings to significantly improve predictive accuracy by capturing behavioral patterns.</w:t>
      </w:r>
    </w:p>
    <w:p w14:paraId="414815C0">
      <w:pPr>
        <w:pStyle w:val="18"/>
        <w:numPr>
          <w:ilvl w:val="0"/>
          <w:numId w:val="1"/>
        </w:numPr>
        <w:spacing w:after="80"/>
        <w:jc w:val="both"/>
      </w:pPr>
      <w:r>
        <w:t>Real-Time Prediction API: Deploy the saved model (best_model.pkl) as a REST API using Flask or FastAPI, enabling real-time energy usage forecasting for smart home systems.</w:t>
      </w:r>
    </w:p>
    <w:p w14:paraId="05772D09">
      <w:pPr>
        <w:pStyle w:val="18"/>
        <w:numPr>
          <w:ilvl w:val="0"/>
          <w:numId w:val="1"/>
        </w:numPr>
        <w:spacing w:after="80"/>
        <w:jc w:val="both"/>
      </w:pPr>
      <w:r>
        <w:t>Anomaly Detection: Use the trained model's residuals to detect anomalous energy consumption events, providing value for energy auditing and fault detection.</w:t>
      </w:r>
    </w:p>
    <w:p w14:paraId="48077448">
      <w:pPr>
        <w:pStyle w:val="18"/>
        <w:numPr>
          <w:ilvl w:val="0"/>
          <w:numId w:val="1"/>
        </w:numPr>
        <w:spacing w:after="80"/>
        <w:jc w:val="both"/>
      </w:pPr>
      <w:r>
        <w:t>Cross-Building Generalization: Test the model on energy datasets from different building types to assess generalization and build a more universal energy prediction framework.</w:t>
      </w:r>
    </w:p>
    <w:p w14:paraId="0F9EB1A1">
      <w:pPr>
        <w:pStyle w:val="2"/>
        <w:numPr>
          <w:ilvl w:val="0"/>
          <w:numId w:val="2"/>
        </w:numPr>
        <w:spacing w:before="280" w:after="160"/>
        <w:jc w:val="both"/>
        <w:rPr>
          <w:color w:val="auto"/>
        </w:rPr>
      </w:pPr>
      <w:r>
        <w:rPr>
          <w:color w:val="auto"/>
        </w:rPr>
        <w:t>References</w:t>
      </w:r>
    </w:p>
    <w:p w14:paraId="561137AB">
      <w:pPr>
        <w:jc w:val="both"/>
      </w:pPr>
    </w:p>
    <w:p w14:paraId="6D916E37">
      <w:pPr>
        <w:spacing w:after="80"/>
        <w:jc w:val="both"/>
      </w:pPr>
      <w:r>
        <w:rPr>
          <w:b/>
          <w:bCs/>
        </w:rPr>
        <w:t>Books:</w:t>
      </w:r>
    </w:p>
    <w:p w14:paraId="7F3E1EAD">
      <w:pPr>
        <w:pStyle w:val="18"/>
        <w:numPr>
          <w:ilvl w:val="0"/>
          <w:numId w:val="1"/>
        </w:numPr>
        <w:spacing w:after="80"/>
        <w:jc w:val="both"/>
      </w:pPr>
      <w:r>
        <w:t>Hands-On Machine Learning with Scikit-Learn, Keras, and TensorFlow (2nd ed.) – Aurélien Géron, O'Reilly Media</w:t>
      </w:r>
    </w:p>
    <w:p w14:paraId="0D2BC5DE">
      <w:pPr>
        <w:pStyle w:val="18"/>
        <w:numPr>
          <w:ilvl w:val="0"/>
          <w:numId w:val="1"/>
        </w:numPr>
        <w:spacing w:after="80"/>
        <w:jc w:val="both"/>
      </w:pPr>
      <w:r>
        <w:t>Introduction to Machine Learning with Python – Andreas Müller &amp; Sarah Guido, O'Reilly Media</w:t>
      </w:r>
    </w:p>
    <w:p w14:paraId="6352823B">
      <w:pPr>
        <w:pStyle w:val="18"/>
        <w:numPr>
          <w:ilvl w:val="0"/>
          <w:numId w:val="1"/>
        </w:numPr>
        <w:spacing w:after="80"/>
        <w:jc w:val="both"/>
      </w:pPr>
      <w:r>
        <w:t>Python Machine Learning (3rd ed.) – Sebastian Raschka &amp; Vahid Mirjalili, Packt Publishing</w:t>
      </w:r>
    </w:p>
    <w:p w14:paraId="6F5AEE31">
      <w:pPr>
        <w:pStyle w:val="18"/>
        <w:numPr>
          <w:ilvl w:val="0"/>
          <w:numId w:val="1"/>
        </w:numPr>
        <w:spacing w:after="80"/>
        <w:jc w:val="both"/>
      </w:pPr>
      <w:r>
        <w:t>Let Us Python – Yashavant Kanetkar</w:t>
      </w:r>
    </w:p>
    <w:p w14:paraId="0E70C910">
      <w:pPr>
        <w:spacing w:after="80"/>
        <w:jc w:val="both"/>
      </w:pPr>
    </w:p>
    <w:p w14:paraId="17DE16A6">
      <w:pPr>
        <w:spacing w:after="80"/>
        <w:jc w:val="both"/>
      </w:pPr>
      <w:r>
        <w:rPr>
          <w:b/>
          <w:bCs/>
        </w:rPr>
        <w:t>Online Resources:</w:t>
      </w:r>
    </w:p>
    <w:p w14:paraId="3E179BBF">
      <w:pPr>
        <w:pStyle w:val="18"/>
        <w:numPr>
          <w:ilvl w:val="0"/>
          <w:numId w:val="1"/>
        </w:numPr>
        <w:spacing w:after="80"/>
        <w:jc w:val="both"/>
      </w:pPr>
      <w:r>
        <w:t>Scikit-learn Documentation — https://scikit-learn.org/stable/</w:t>
      </w:r>
    </w:p>
    <w:p w14:paraId="2ABEC621">
      <w:pPr>
        <w:pStyle w:val="18"/>
        <w:numPr>
          <w:ilvl w:val="0"/>
          <w:numId w:val="1"/>
        </w:numPr>
        <w:spacing w:after="80"/>
        <w:jc w:val="both"/>
      </w:pPr>
      <w:r>
        <w:t>Pandas Documentation — https://pandas.pydata.org/docs/</w:t>
      </w:r>
    </w:p>
    <w:p w14:paraId="73C3AE5C">
      <w:pPr>
        <w:pStyle w:val="18"/>
        <w:numPr>
          <w:ilvl w:val="0"/>
          <w:numId w:val="1"/>
        </w:numPr>
        <w:spacing w:after="80"/>
        <w:jc w:val="both"/>
      </w:pPr>
      <w:r>
        <w:t>Matplotlib Documentation — https://matplotlib.org/stable/</w:t>
      </w:r>
    </w:p>
    <w:p w14:paraId="3504FF7A">
      <w:pPr>
        <w:pStyle w:val="18"/>
        <w:numPr>
          <w:ilvl w:val="0"/>
          <w:numId w:val="1"/>
        </w:numPr>
        <w:spacing w:after="80"/>
        <w:jc w:val="both"/>
      </w:pPr>
      <w:r>
        <w:t>Seaborn Documentation — https://seaborn.pydata.org/</w:t>
      </w:r>
    </w:p>
    <w:p w14:paraId="1BC9AF22">
      <w:pPr>
        <w:pStyle w:val="18"/>
        <w:numPr>
          <w:ilvl w:val="0"/>
          <w:numId w:val="1"/>
        </w:numPr>
        <w:spacing w:after="80"/>
        <w:jc w:val="both"/>
      </w:pPr>
      <w:r>
        <w:t>GeeksforGeeks — https://www.geeksforgeeks.org/</w:t>
      </w:r>
    </w:p>
    <w:p w14:paraId="23506D97">
      <w:pPr>
        <w:pStyle w:val="18"/>
        <w:numPr>
          <w:ilvl w:val="0"/>
          <w:numId w:val="1"/>
        </w:numPr>
        <w:spacing w:after="80"/>
        <w:jc w:val="both"/>
      </w:pPr>
      <w:r>
        <w:t>TutorialsPoint — https://www.tutorialspoint.com/</w:t>
      </w:r>
    </w:p>
    <w:p w14:paraId="5F890335">
      <w:pPr>
        <w:pStyle w:val="18"/>
        <w:numPr>
          <w:ilvl w:val="0"/>
          <w:numId w:val="1"/>
        </w:numPr>
        <w:spacing w:after="80"/>
        <w:jc w:val="both"/>
      </w:pPr>
      <w:r>
        <w:t>Stack Overflow — https://stackoverflow.com</w:t>
      </w:r>
    </w:p>
    <w:p w14:paraId="264D01CA">
      <w:pPr>
        <w:pStyle w:val="18"/>
        <w:numPr>
          <w:ilvl w:val="0"/>
          <w:numId w:val="1"/>
        </w:numPr>
        <w:spacing w:after="80"/>
        <w:jc w:val="both"/>
      </w:pPr>
      <w:r>
        <w:t>Kaggle — Energy Usage Dataset (energy_usage.csv)</w:t>
      </w:r>
    </w:p>
    <w:sectPr>
      <w:pgSz w:w="12240" w:h="15840"/>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729F73B1"/>
    <w:multiLevelType w:val="singleLevel"/>
    <w:tmpl w:val="729F73B1"/>
    <w:lvl w:ilvl="0" w:tentative="0">
      <w:start w:val="7"/>
      <w:numFmt w:val="decimal"/>
      <w:suff w:val="space"/>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7E9"/>
    <w:rsid w:val="00323F29"/>
    <w:rsid w:val="00425264"/>
    <w:rsid w:val="00596537"/>
    <w:rsid w:val="007157E9"/>
    <w:rsid w:val="007B3522"/>
    <w:rsid w:val="00E25007"/>
    <w:rsid w:val="00EA3114"/>
    <w:rsid w:val="00EC656F"/>
    <w:rsid w:val="063B6F48"/>
    <w:rsid w:val="114314EC"/>
    <w:rsid w:val="1443024D"/>
    <w:rsid w:val="5B4E455A"/>
    <w:rsid w:val="695F7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next w:val="1"/>
    <w:qFormat/>
    <w:uiPriority w:val="0"/>
    <w:pPr>
      <w:spacing w:before="300" w:after="200"/>
      <w:outlineLvl w:val="0"/>
    </w:pPr>
    <w:rPr>
      <w:rFonts w:ascii="Arial" w:hAnsi="Arial" w:eastAsia="Arial" w:cs="Arial"/>
      <w:b/>
      <w:bCs/>
      <w:color w:val="1F4E79"/>
      <w:sz w:val="32"/>
      <w:szCs w:val="32"/>
      <w:lang w:val="en-IN" w:eastAsia="en-IN" w:bidi="ar-SA"/>
    </w:rPr>
  </w:style>
  <w:style w:type="paragraph" w:styleId="3">
    <w:name w:val="heading 2"/>
    <w:next w:val="1"/>
    <w:link w:val="21"/>
    <w:qFormat/>
    <w:uiPriority w:val="0"/>
    <w:pPr>
      <w:spacing w:before="200" w:after="160"/>
      <w:outlineLvl w:val="1"/>
    </w:pPr>
    <w:rPr>
      <w:rFonts w:ascii="Arial" w:hAnsi="Arial" w:eastAsia="Arial" w:cs="Arial"/>
      <w:b/>
      <w:bCs/>
      <w:color w:val="2E75B6"/>
      <w:sz w:val="26"/>
      <w:szCs w:val="26"/>
      <w:lang w:val="en-IN" w:eastAsia="en-IN" w:bidi="ar-SA"/>
    </w:rPr>
  </w:style>
  <w:style w:type="paragraph" w:styleId="4">
    <w:name w:val="heading 3"/>
    <w:next w:val="1"/>
    <w:qFormat/>
    <w:uiPriority w:val="0"/>
    <w:pPr>
      <w:spacing w:before="160" w:after="100"/>
      <w:outlineLvl w:val="2"/>
    </w:pPr>
    <w:rPr>
      <w:rFonts w:ascii="Arial" w:hAnsi="Arial" w:eastAsia="Arial" w:cs="Arial"/>
      <w:b/>
      <w:bCs/>
      <w:color w:val="2F5496"/>
      <w:sz w:val="24"/>
      <w:szCs w:val="24"/>
      <w:lang w:val="en-IN" w:eastAsia="en-IN" w:bidi="ar-SA"/>
    </w:rPr>
  </w:style>
  <w:style w:type="paragraph" w:styleId="5">
    <w:name w:val="heading 4"/>
    <w:next w:val="1"/>
    <w:qFormat/>
    <w:uiPriority w:val="0"/>
    <w:pPr>
      <w:outlineLvl w:val="3"/>
    </w:pPr>
    <w:rPr>
      <w:rFonts w:ascii="Arial" w:hAnsi="Arial" w:eastAsia="Arial" w:cs="Arial"/>
      <w:i/>
      <w:iCs/>
      <w:color w:val="2E74B5"/>
      <w:sz w:val="22"/>
      <w:szCs w:val="22"/>
      <w:lang w:val="en-IN" w:eastAsia="en-IN" w:bidi="ar-SA"/>
    </w:rPr>
  </w:style>
  <w:style w:type="paragraph" w:styleId="6">
    <w:name w:val="heading 5"/>
    <w:next w:val="1"/>
    <w:qFormat/>
    <w:uiPriority w:val="0"/>
    <w:pPr>
      <w:outlineLvl w:val="4"/>
    </w:pPr>
    <w:rPr>
      <w:rFonts w:ascii="Arial" w:hAnsi="Arial" w:eastAsia="Arial" w:cs="Arial"/>
      <w:color w:val="2E74B5"/>
      <w:sz w:val="22"/>
      <w:szCs w:val="22"/>
      <w:lang w:val="en-IN" w:eastAsia="en-IN" w:bidi="ar-SA"/>
    </w:rPr>
  </w:style>
  <w:style w:type="paragraph" w:styleId="7">
    <w:name w:val="heading 6"/>
    <w:next w:val="1"/>
    <w:qFormat/>
    <w:uiPriority w:val="0"/>
    <w:pPr>
      <w:outlineLvl w:val="5"/>
    </w:pPr>
    <w:rPr>
      <w:rFonts w:ascii="Arial" w:hAnsi="Arial" w:eastAsia="Arial" w:cs="Arial"/>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rPr>
      <w:rFonts w:ascii="Arial" w:hAnsi="Arial" w:eastAsia="Arial" w:cs="Arial"/>
      <w:lang w:val="en-IN" w:eastAsia="en-IN" w:bidi="ar-SA"/>
    </w:rPr>
  </w:style>
  <w:style w:type="paragraph" w:styleId="12">
    <w:name w:val="footer"/>
    <w:basedOn w:val="1"/>
    <w:link w:val="22"/>
    <w:uiPriority w:val="0"/>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19"/>
    <w:semiHidden/>
    <w:unhideWhenUsed/>
    <w:uiPriority w:val="99"/>
    <w:rPr>
      <w:rFonts w:ascii="Arial" w:hAnsi="Arial" w:eastAsia="Arial" w:cs="Arial"/>
      <w:lang w:val="en-IN" w:eastAsia="en-IN" w:bidi="ar-SA"/>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lang w:val="en-IN" w:eastAsia="en-IN" w:bidi="ar-SA"/>
    </w:rPr>
  </w:style>
  <w:style w:type="paragraph" w:styleId="18">
    <w:name w:val="List Paragraph"/>
    <w:qFormat/>
    <w:uiPriority w:val="0"/>
    <w:rPr>
      <w:rFonts w:ascii="Arial" w:hAnsi="Arial" w:eastAsia="Arial" w:cs="Arial"/>
      <w:sz w:val="22"/>
      <w:szCs w:val="22"/>
      <w:lang w:val="en-IN" w:eastAsia="en-IN" w:bidi="ar-SA"/>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 w:type="character" w:customStyle="1" w:styleId="21">
    <w:name w:val="Heading 2 Char"/>
    <w:basedOn w:val="8"/>
    <w:link w:val="3"/>
    <w:uiPriority w:val="0"/>
    <w:rPr>
      <w:b/>
      <w:bCs/>
      <w:color w:val="2E75B6"/>
      <w:sz w:val="26"/>
      <w:szCs w:val="26"/>
    </w:rPr>
  </w:style>
  <w:style w:type="character" w:customStyle="1" w:styleId="22">
    <w:name w:val="Footer Char"/>
    <w:basedOn w:val="8"/>
    <w:link w:val="12"/>
    <w:qFormat/>
    <w:uiPriority w:val="0"/>
    <w:rPr>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2173</Words>
  <Characters>13346</Characters>
  <Lines>111</Lines>
  <Paragraphs>31</Paragraphs>
  <TotalTime>11</TotalTime>
  <ScaleCrop>false</ScaleCrop>
  <LinksUpToDate>false</LinksUpToDate>
  <CharactersWithSpaces>15357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2026-04-30T08:20:00Z</dcterms:created>
  <dc:creator>Un-named</dc:creator>
  <cp:lastModifiedBy>Devil Himself</cp:lastModifiedBy>
  <dcterms:modified xsi:type="dcterms:W3CDTF">2026-05-12T15:12:15Z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eyJoZGlkIjoiOGNiNWRjY2Y4OWJiMjFkMzMzZTI3NWE0YThmMGYxMTgiLCJ1c2VySWQiOiI1Njc2NjMwNjk1ODUifQ==</vt:lpwstr>
  </property>
  <property fmtid="{D5CDD505-2E9C-101B-9397-08002B2CF9AE}" pid="3" name="KSOProductBuildVer">
    <vt:lpwstr>1033-12.1.0.26372</vt:lpwstr>
  </property>
  <property fmtid="{D5CDD505-2E9C-101B-9397-08002B2CF9AE}" pid="4" name="ICV">
    <vt:lpwstr>097263FB1FE8461EA38EE180CC2945DE_13</vt:lpwstr>
  </property>
</Properties>
</file>