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B4864A"/>
          <w:sz w:val="44"/>
          <w:szCs w:val="44"/>
        </w:rPr>
        <w:t xml:space="preserve">I &amp; A</w:t>
      </w:r>
    </w:p>
    <w:p>
      <w:pPr>
        <w:pBdr>
          <w:bottom w:val="single" w:color="D9C7A6" w:sz="6"/>
        </w:pBdr>
        <w:spacing w:after="0" w:before="60"/>
        <w:jc w:val="center"/>
      </w:pPr>
      <w:r>
        <w:rPr>
          <w:rFonts w:ascii="Calibri" w:cs="Calibri" w:eastAsia="Calibri" w:hAnsi="Calibri"/>
          <w:caps/>
          <w:color w:val="6B726A"/>
          <w:spacing w:val="60"/>
          <w:sz w:val="20"/>
          <w:szCs w:val="20"/>
        </w:rPr>
        <w:t xml:space="preserve">PLATAFORMA DE CONVITES E GESTÃO DE CASAMENTOS</w:t>
      </w:r>
    </w:p>
    <w:p>
      <w:pPr>
        <w:spacing w:after="0" w:before="7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C4536"/>
          <w:sz w:val="68"/>
          <w:szCs w:val="68"/>
        </w:rPr>
        <w:t xml:space="preserve">Plano de Produto</w:t>
      </w:r>
    </w:p>
    <w:p>
      <w:pPr>
        <w:spacing w:after="0" w:before="120"/>
        <w:jc w:val="center"/>
      </w:pPr>
      <w:r>
        <w:rPr>
          <w:rFonts w:ascii="Cormorant Garamond" w:cs="Cormorant Garamond" w:eastAsia="Cormorant Garamond" w:hAnsi="Cormorant Garamond"/>
          <w:i/>
          <w:iCs/>
          <w:color w:val="8A6031"/>
          <w:sz w:val="30"/>
          <w:szCs w:val="30"/>
        </w:rPr>
        <w:t xml:space="preserve">Da aplicação de um casamento a um serviço para muitos casais</w:t>
      </w:r>
    </w:p>
    <w:p>
      <w:pPr>
        <w:spacing w:after="0" w:before="1200"/>
        <w:jc w:val="center"/>
      </w:pPr>
      <w:r>
        <w:rPr>
          <w:rFonts w:ascii="Calibri" w:cs="Calibri" w:eastAsia="Calibri" w:hAnsi="Calibri"/>
          <w:color w:val="44443F"/>
          <w:sz w:val="22"/>
          <w:szCs w:val="22"/>
        </w:rPr>
        <w:t xml:space="preserve">Documento de visão, arquitetura e execução por fases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color w:val="6B726A"/>
          <w:sz w:val="20"/>
          <w:szCs w:val="20"/>
        </w:rPr>
        <w:t xml:space="preserve">Versão 1.0 · Julho de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C4536"/>
          <w:sz w:val="30"/>
          <w:szCs w:val="30"/>
        </w:rPr>
        <w:t xml:space="preserve">Índice</w:t>
      </w:r>
    </w:p>
    <w:p>
      <w:pPr>
        <w:spacing w:after="60"/>
      </w:pPr>
    </w:p>
    <w:p>
      <w:pPr>
        <w:tabs>
          <w:tab w:val="right" w:pos="9020" w:leader="dot"/>
        </w:tabs>
        <w:spacing w:after="110" w:line="264"/>
      </w:pPr>
      <w:r>
        <w:rPr>
          <w:rFonts w:ascii="Calibri" w:cs="Calibri" w:eastAsia="Calibri" w:hAnsi="Calibri"/>
          <w:color w:val="2C4536"/>
          <w:sz w:val="22"/>
          <w:szCs w:val="22"/>
        </w:rPr>
        <w:t xml:space="preserve">1.  Sumário executivo</w:t>
      </w:r>
      <w:r>
        <w:rPr>
          <w:rFonts w:ascii="Calibri" w:cs="Calibri" w:eastAsia="Calibri" w:hAnsi="Calibri"/>
          <w:color w:val="6B726A"/>
          <w:sz w:val="20"/>
          <w:szCs w:val="20"/>
        </w:rPr>
        <w:tab/>
        <w:t xml:space="preserve">3</w:t>
      </w:r>
    </w:p>
    <w:p>
      <w:pPr>
        <w:tabs>
          <w:tab w:val="right" w:pos="9020" w:leader="dot"/>
        </w:tabs>
        <w:spacing w:after="110" w:line="264"/>
      </w:pPr>
      <w:r>
        <w:rPr>
          <w:rFonts w:ascii="Calibri" w:cs="Calibri" w:eastAsia="Calibri" w:hAnsi="Calibri"/>
          <w:color w:val="2C4536"/>
          <w:sz w:val="22"/>
          <w:szCs w:val="22"/>
        </w:rPr>
        <w:t xml:space="preserve">2.  Visão e proposta de valor</w:t>
      </w:r>
      <w:r>
        <w:rPr>
          <w:rFonts w:ascii="Calibri" w:cs="Calibri" w:eastAsia="Calibri" w:hAnsi="Calibri"/>
          <w:color w:val="6B726A"/>
          <w:sz w:val="20"/>
          <w:szCs w:val="20"/>
        </w:rPr>
        <w:tab/>
        <w:t xml:space="preserve">3</w:t>
      </w:r>
    </w:p>
    <w:p>
      <w:pPr>
        <w:tabs>
          <w:tab w:val="right" w:pos="9020" w:leader="dot"/>
        </w:tabs>
        <w:spacing w:after="110" w:line="264"/>
      </w:pPr>
      <w:r>
        <w:rPr>
          <w:rFonts w:ascii="Calibri" w:cs="Calibri" w:eastAsia="Calibri" w:hAnsi="Calibri"/>
          <w:color w:val="2C4536"/>
          <w:sz w:val="22"/>
          <w:szCs w:val="22"/>
        </w:rPr>
        <w:t xml:space="preserve">3.  Da aplicação à plataforma</w:t>
      </w:r>
      <w:r>
        <w:rPr>
          <w:rFonts w:ascii="Calibri" w:cs="Calibri" w:eastAsia="Calibri" w:hAnsi="Calibri"/>
          <w:color w:val="6B726A"/>
          <w:sz w:val="20"/>
          <w:szCs w:val="20"/>
        </w:rPr>
        <w:tab/>
        <w:t xml:space="preserve">3</w:t>
      </w:r>
    </w:p>
    <w:p>
      <w:pPr>
        <w:tabs>
          <w:tab w:val="right" w:pos="9020" w:leader="dot"/>
        </w:tabs>
        <w:spacing w:after="110" w:line="264"/>
      </w:pPr>
      <w:r>
        <w:rPr>
          <w:rFonts w:ascii="Calibri" w:cs="Calibri" w:eastAsia="Calibri" w:hAnsi="Calibri"/>
          <w:color w:val="2C4536"/>
          <w:sz w:val="22"/>
          <w:szCs w:val="22"/>
        </w:rPr>
        <w:t xml:space="preserve">4.  Arquitetura e infraestrutura</w:t>
      </w:r>
      <w:r>
        <w:rPr>
          <w:rFonts w:ascii="Calibri" w:cs="Calibri" w:eastAsia="Calibri" w:hAnsi="Calibri"/>
          <w:color w:val="6B726A"/>
          <w:sz w:val="20"/>
          <w:szCs w:val="20"/>
        </w:rPr>
        <w:tab/>
        <w:t xml:space="preserve">4</w:t>
      </w:r>
    </w:p>
    <w:p>
      <w:pPr>
        <w:tabs>
          <w:tab w:val="right" w:pos="9020" w:leader="dot"/>
        </w:tabs>
        <w:spacing w:after="110" w:line="264"/>
      </w:pPr>
      <w:r>
        <w:rPr>
          <w:rFonts w:ascii="Calibri" w:cs="Calibri" w:eastAsia="Calibri" w:hAnsi="Calibri"/>
          <w:color w:val="2C4536"/>
          <w:sz w:val="22"/>
          <w:szCs w:val="22"/>
        </w:rPr>
        <w:t xml:space="preserve">5.  O editor de convites</w:t>
      </w:r>
      <w:r>
        <w:rPr>
          <w:rFonts w:ascii="Calibri" w:cs="Calibri" w:eastAsia="Calibri" w:hAnsi="Calibri"/>
          <w:color w:val="6B726A"/>
          <w:sz w:val="20"/>
          <w:szCs w:val="20"/>
        </w:rPr>
        <w:tab/>
        <w:t xml:space="preserve">4</w:t>
      </w:r>
    </w:p>
    <w:p>
      <w:pPr>
        <w:tabs>
          <w:tab w:val="right" w:pos="9020" w:leader="dot"/>
        </w:tabs>
        <w:spacing w:after="110" w:line="264"/>
      </w:pPr>
      <w:r>
        <w:rPr>
          <w:rFonts w:ascii="Calibri" w:cs="Calibri" w:eastAsia="Calibri" w:hAnsi="Calibri"/>
          <w:color w:val="2C4536"/>
          <w:sz w:val="22"/>
          <w:szCs w:val="22"/>
        </w:rPr>
        <w:t xml:space="preserve">6.  Convite digital e físico</w:t>
      </w:r>
      <w:r>
        <w:rPr>
          <w:rFonts w:ascii="Calibri" w:cs="Calibri" w:eastAsia="Calibri" w:hAnsi="Calibri"/>
          <w:color w:val="6B726A"/>
          <w:sz w:val="20"/>
          <w:szCs w:val="20"/>
        </w:rPr>
        <w:tab/>
        <w:t xml:space="preserve">5</w:t>
      </w:r>
    </w:p>
    <w:p>
      <w:pPr>
        <w:tabs>
          <w:tab w:val="right" w:pos="9020" w:leader="dot"/>
        </w:tabs>
        <w:spacing w:after="110" w:line="264"/>
      </w:pPr>
      <w:r>
        <w:rPr>
          <w:rFonts w:ascii="Calibri" w:cs="Calibri" w:eastAsia="Calibri" w:hAnsi="Calibri"/>
          <w:color w:val="2C4536"/>
          <w:sz w:val="22"/>
          <w:szCs w:val="22"/>
        </w:rPr>
        <w:t xml:space="preserve">7.  Funcionalidades para um sistema completo</w:t>
      </w:r>
      <w:r>
        <w:rPr>
          <w:rFonts w:ascii="Calibri" w:cs="Calibri" w:eastAsia="Calibri" w:hAnsi="Calibri"/>
          <w:color w:val="6B726A"/>
          <w:sz w:val="20"/>
          <w:szCs w:val="20"/>
        </w:rPr>
        <w:tab/>
        <w:t xml:space="preserve">5</w:t>
      </w:r>
    </w:p>
    <w:p>
      <w:pPr>
        <w:tabs>
          <w:tab w:val="right" w:pos="9020" w:leader="dot"/>
        </w:tabs>
        <w:spacing w:after="110" w:line="264"/>
      </w:pPr>
      <w:r>
        <w:rPr>
          <w:rFonts w:ascii="Calibri" w:cs="Calibri" w:eastAsia="Calibri" w:hAnsi="Calibri"/>
          <w:color w:val="2C4536"/>
          <w:sz w:val="22"/>
          <w:szCs w:val="22"/>
        </w:rPr>
        <w:t xml:space="preserve">8.  Modelo de dados multi-inquilino</w:t>
      </w:r>
      <w:r>
        <w:rPr>
          <w:rFonts w:ascii="Calibri" w:cs="Calibri" w:eastAsia="Calibri" w:hAnsi="Calibri"/>
          <w:color w:val="6B726A"/>
          <w:sz w:val="20"/>
          <w:szCs w:val="20"/>
        </w:rPr>
        <w:tab/>
        <w:t xml:space="preserve">5</w:t>
      </w:r>
    </w:p>
    <w:p>
      <w:pPr>
        <w:tabs>
          <w:tab w:val="right" w:pos="9020" w:leader="dot"/>
        </w:tabs>
        <w:spacing w:after="110" w:line="264"/>
      </w:pPr>
      <w:r>
        <w:rPr>
          <w:rFonts w:ascii="Calibri" w:cs="Calibri" w:eastAsia="Calibri" w:hAnsi="Calibri"/>
          <w:color w:val="2C4536"/>
          <w:sz w:val="22"/>
          <w:szCs w:val="22"/>
        </w:rPr>
        <w:t xml:space="preserve">9.  Plataforma, privacidade e segurança</w:t>
      </w:r>
      <w:r>
        <w:rPr>
          <w:rFonts w:ascii="Calibri" w:cs="Calibri" w:eastAsia="Calibri" w:hAnsi="Calibri"/>
          <w:color w:val="6B726A"/>
          <w:sz w:val="20"/>
          <w:szCs w:val="20"/>
        </w:rPr>
        <w:tab/>
        <w:t xml:space="preserve">6</w:t>
      </w:r>
    </w:p>
    <w:p>
      <w:pPr>
        <w:tabs>
          <w:tab w:val="right" w:pos="9020" w:leader="dot"/>
        </w:tabs>
        <w:spacing w:after="110" w:line="264"/>
      </w:pPr>
      <w:r>
        <w:rPr>
          <w:rFonts w:ascii="Calibri" w:cs="Calibri" w:eastAsia="Calibri" w:hAnsi="Calibri"/>
          <w:color w:val="2C4536"/>
          <w:sz w:val="22"/>
          <w:szCs w:val="22"/>
        </w:rPr>
        <w:t xml:space="preserve">10.  Modelo de negócio</w:t>
      </w:r>
      <w:r>
        <w:rPr>
          <w:rFonts w:ascii="Calibri" w:cs="Calibri" w:eastAsia="Calibri" w:hAnsi="Calibri"/>
          <w:color w:val="6B726A"/>
          <w:sz w:val="20"/>
          <w:szCs w:val="20"/>
        </w:rPr>
        <w:tab/>
        <w:t xml:space="preserve">6</w:t>
      </w:r>
    </w:p>
    <w:p>
      <w:pPr>
        <w:tabs>
          <w:tab w:val="right" w:pos="9020" w:leader="dot"/>
        </w:tabs>
        <w:spacing w:after="110" w:line="264"/>
      </w:pPr>
      <w:r>
        <w:rPr>
          <w:rFonts w:ascii="Calibri" w:cs="Calibri" w:eastAsia="Calibri" w:hAnsi="Calibri"/>
          <w:color w:val="2C4536"/>
          <w:sz w:val="22"/>
          <w:szCs w:val="22"/>
        </w:rPr>
        <w:t xml:space="preserve">11.  Percurso de execução por fases</w:t>
      </w:r>
      <w:r>
        <w:rPr>
          <w:rFonts w:ascii="Calibri" w:cs="Calibri" w:eastAsia="Calibri" w:hAnsi="Calibri"/>
          <w:color w:val="6B726A"/>
          <w:sz w:val="20"/>
          <w:szCs w:val="20"/>
        </w:rPr>
        <w:tab/>
        <w:t xml:space="preserve">6</w:t>
      </w:r>
    </w:p>
    <w:p>
      <w:pPr>
        <w:tabs>
          <w:tab w:val="right" w:pos="9020" w:leader="dot"/>
        </w:tabs>
        <w:spacing w:after="110" w:line="264"/>
      </w:pPr>
      <w:r>
        <w:rPr>
          <w:rFonts w:ascii="Calibri" w:cs="Calibri" w:eastAsia="Calibri" w:hAnsi="Calibri"/>
          <w:color w:val="2C4536"/>
          <w:sz w:val="22"/>
          <w:szCs w:val="22"/>
        </w:rPr>
        <w:t xml:space="preserve">12.  Riscos e mitigações</w:t>
      </w:r>
      <w:r>
        <w:rPr>
          <w:rFonts w:ascii="Calibri" w:cs="Calibri" w:eastAsia="Calibri" w:hAnsi="Calibri"/>
          <w:color w:val="6B726A"/>
          <w:sz w:val="20"/>
          <w:szCs w:val="20"/>
        </w:rPr>
        <w:tab/>
        <w:t xml:space="preserve">7</w:t>
      </w:r>
    </w:p>
    <w:p>
      <w:pPr>
        <w:tabs>
          <w:tab w:val="right" w:pos="9020" w:leader="dot"/>
        </w:tabs>
        <w:spacing w:after="110" w:line="264"/>
      </w:pPr>
      <w:r>
        <w:rPr>
          <w:rFonts w:ascii="Calibri" w:cs="Calibri" w:eastAsia="Calibri" w:hAnsi="Calibri"/>
          <w:color w:val="2C4536"/>
          <w:sz w:val="22"/>
          <w:szCs w:val="22"/>
        </w:rPr>
        <w:t xml:space="preserve">13.  Próximos passos</w:t>
      </w:r>
      <w:r>
        <w:rPr>
          <w:rFonts w:ascii="Calibri" w:cs="Calibri" w:eastAsia="Calibri" w:hAnsi="Calibri"/>
          <w:color w:val="6B726A"/>
          <w:sz w:val="20"/>
          <w:szCs w:val="20"/>
        </w:rPr>
        <w:tab/>
        <w:t xml:space="preserve">7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C4536"/>
          <w:sz w:val="30"/>
          <w:szCs w:val="30"/>
        </w:rPr>
        <w:t xml:space="preserve">1. Sumário executivo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A aplicação atual serve, com resultados sólidos, um único casamento: cria convites digitais personalizados por convidado, faz a gestão das confirmações de presença, imprime convites físicos, controla as entradas à porta com leitura de código QR e reúne toda a informação num painel de gestão. Este documento propõe o passo seguinte: transformar essa aplicação num serviço que permita a qualquer casal criar, personalizar e gerir os seus próprios convites e todo o seu evento.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A ambição central é dupla.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Primeiro, dotar o sistema de um editor visual que permita ao casal desenhar e personalizar o convite — cores, tipos de letra, imagens, secções e modelos — sem depender de terceiros. Segundo, abrir a plataforma a múltiplos casais, cada um com a sua conta, os seus eventos e os seus dados totalmente isolados dos restantes.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O plano que se segue descreve a visão e a proposta de valor, a arquitetura técnica necessária, o desenho do editor de convites, o conjunto completo de funcionalidades, o modelo de dados multi-inquilino, as exigências de privacidade e segurança, um modelo de negócio sustentável e, por fim, um percurso de execução repartido por fases, para gerar valor cedo sem comprometer a solidez do produto.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C4536"/>
          <w:sz w:val="30"/>
          <w:szCs w:val="30"/>
        </w:rPr>
        <w:t xml:space="preserve">2. Visão e proposta de valor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A visão é oferecer a cada casal uma ferramenta única que acompanha o casamento do princípio ao fim: do primeiro rascunho do convite até ao registo da última entrada na festa. Em vez de recorrer a um desenhador para o convite, a uma folha de cálculo para os convidados e a aplicações avulsas para os lembretes, o casal encontra tudo num só lugar, com uma identidade visual coerente e cuidada.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8A6031"/>
          <w:sz w:val="25"/>
          <w:szCs w:val="25"/>
        </w:rPr>
        <w:t xml:space="preserve">O que distingue a plataforma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Beleza por defeito.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 Modelos elegantes e uma linguagem visual consistente, para que qualquer casal obtenha um resultado bonito sem esforço.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Do desenho ao dia do evento.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 Um único desenho gera o convite digital animado e o convite físico pronto para impressão, e a mesma plataforma gere convidados, mesas e entradas.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Personalização a dois níveis.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 Quem quer rapidez escolhe um modelo e ajusta os detalhes; quem quer liberdade total desenha na tela, ao estilo de um editor gráfico.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Pensada para o contexto local.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 Português europeu e angolano, integração com WhatsApp, e meios de pagamento locais a par de internacionais.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C4536"/>
          <w:sz w:val="30"/>
          <w:szCs w:val="30"/>
        </w:rPr>
        <w:t xml:space="preserve">3. Da aplicação à plataforma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Hoje o sistema é de inquilino único: um casamento, um ficheiro de configuração, uma base de dados. Servir vários casais exige uma mudança de fundo — a multi-inquilinência — em que cada casal tem uma conta e gere um ou mais eventos, isolados dos demais. Esta é a alteração estruturante de todo o projeto.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8A6031"/>
          <w:sz w:val="25"/>
          <w:szCs w:val="25"/>
        </w:rPr>
        <w:t xml:space="preserve">Pilares da mudança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Contas e autenticação.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 Registo e início de sessão seguros, recuperação de senha, e verificação por email.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Isolamento de dados.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 Cada registo passa a pertencer a um evento e a um casal; nenhum casal acede aos dados de outro.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Papéis por evento.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 O casal, eventuais colaboradores e os porteiros têm permissões próprias, atribuídas por evento.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Super-administração.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 Um painel interno para gerir casais, planos, modelos e o estado geral do serviço.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C4536"/>
          <w:sz w:val="30"/>
          <w:szCs w:val="30"/>
        </w:rPr>
        <w:t xml:space="preserve">4. Arquitetura e infraestrutura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Uma verdade técnica incontornável: </w:t>
      </w: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o alojamento gratuito atual não serve para um produto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. Os limites de tamanho de ficheiro, a ausência de processamento pesado e a falta de armazenamento de imagens tornam-no inviável à escala pretendida. A primeira decisão do projeto é, por isso, a infraestrutura.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8A6031"/>
          <w:sz w:val="25"/>
          <w:szCs w:val="25"/>
        </w:rPr>
        <w:t xml:space="preserve">Componentes recomendados</w:t>
      </w:r>
    </w:p>
    <w:tbl>
      <w:tblPr>
        <w:tblW w:type="dxa" w:w="9020"/>
        <w:tblBorders>
          <w:top w:val="single" w:color="D9C7A6" w:sz="4"/>
          <w:left w:val="single" w:color="D9C7A6" w:sz="4"/>
          <w:bottom w:val="single" w:color="D9C7A6" w:sz="4"/>
          <w:right w:val="single" w:color="D9C7A6" w:sz="4"/>
          <w:insideH w:val="single" w:color="D9C7A6" w:sz="4"/>
          <w:insideV w:val="single" w:color="D9C7A6" w:sz="4"/>
        </w:tblBorders>
      </w:tblPr>
      <w:tblGrid>
        <w:gridCol w:w="2400"/>
        <w:gridCol w:w="3200"/>
        <w:gridCol w:w="3420"/>
      </w:tblGrid>
      <w:tr>
        <w:trPr>
          <w:tblHeader/>
        </w:trPr>
        <w:tc>
          <w:tcPr>
            <w:tcW w:type="dxa" w:w="2400"/>
            <w:shd w:fill="2C453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200"/>
            <w:shd w:fill="2C453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420"/>
            <w:shd w:fill="2C453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Opções sugeridas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Alojamento da aplicação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Executar a plataforma e a API</w:t>
            </w:r>
          </w:p>
        </w:tc>
        <w:tc>
          <w:tcPr>
            <w:tcW w:type="dxa" w:w="34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VPS próprio, ou Railway / Render / Fly</w:t>
            </w:r>
          </w:p>
        </w:tc>
      </w:tr>
      <w:tr>
        <w:tc>
          <w:tcPr>
            <w:tcW w:type="dxa" w:w="24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Base de dados gerida</w:t>
            </w:r>
          </w:p>
        </w:tc>
        <w:tc>
          <w:tcPr>
            <w:tcW w:type="dxa" w:w="32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Guardar dados com segurança e cópias</w:t>
            </w:r>
          </w:p>
        </w:tc>
        <w:tc>
          <w:tcPr>
            <w:tcW w:type="dxa" w:w="342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PostgreSQL ou MySQL geridos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Armazenamento de objetos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Guardar imagens e ficheiros dos convites</w:t>
            </w:r>
          </w:p>
        </w:tc>
        <w:tc>
          <w:tcPr>
            <w:tcW w:type="dxa" w:w="34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Cloudflare R2 ou Backblaze B2</w:t>
            </w:r>
          </w:p>
        </w:tc>
      </w:tr>
      <w:tr>
        <w:tc>
          <w:tcPr>
            <w:tcW w:type="dxa" w:w="24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Rede de entrega (CDN)</w:t>
            </w:r>
          </w:p>
        </w:tc>
        <w:tc>
          <w:tcPr>
            <w:tcW w:type="dxa" w:w="32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Servir imagens e convites com rapidez</w:t>
            </w:r>
          </w:p>
        </w:tc>
        <w:tc>
          <w:tcPr>
            <w:tcW w:type="dxa" w:w="342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Cloudflare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Envio de email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Confirmações, recuperação de senha, avisos</w:t>
            </w:r>
          </w:p>
        </w:tc>
        <w:tc>
          <w:tcPr>
            <w:tcW w:type="dxa" w:w="34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Serviço transacional dedicado</w:t>
            </w:r>
          </w:p>
        </w:tc>
      </w:tr>
    </w:tbl>
    <w:p>
      <w:pPr>
        <w:spacing w:after="40"/>
      </w:pPr>
    </w:p>
    <w:p>
      <w:pPr>
        <w:spacing w:after="130" w:line="276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Sobre a tecnologia: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o PHP atual serviu muito bem e validou as regras de negócio. Um produto com editor visual pesado vive, porém, sobretudo no navegador. Recomenda-se um front-end moderno (React ou Vue) sobre uma API dedicada, preservando a lógica já testada. Não é necessário reescrever tudo de uma vez: a fase inicial pode reaproveitar boa parte do que existe.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C4536"/>
          <w:sz w:val="30"/>
          <w:szCs w:val="30"/>
        </w:rPr>
        <w:t xml:space="preserve">5. O editor de convites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Esta é a funcionalidade mais aliciante e, também, a de maior risco. Construir um editor ao nível de um Photoshop de raiz representaria anos de trabalho. A boa notícia é que se consegue a maior parte do valor sem isso, através de três camadas com esforço crescente e retorno decrescente.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8A6031"/>
          <w:sz w:val="25"/>
          <w:szCs w:val="25"/>
        </w:rPr>
        <w:t xml:space="preserve">Camada 1 — Modelos e personalização por configuração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É a camada de maior retorno imediato. A maioria dos casais não quer uma tela em branco: quer escolher um modelo bonito e alterar cores, textos, fotografias, música, contagem decrescente, mapa e quais as secções que aparecem. Constrói-se sobre o que já existe e cobre a esmagadora maioria dos casos.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8A6031"/>
          <w:sz w:val="25"/>
          <w:szCs w:val="25"/>
        </w:rPr>
        <w:t xml:space="preserve">Camada 2 — Editor visual de tela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Para quem quer liberdade total, um editor verdadeiro, com camadas, texto, imagens, formas, arrastar e largar, alinhamento e histórico de desfazer. Aqui não se reinventa a roda: usa-se uma biblioteca madura. O </w:t>
      </w:r>
      <w:r>
        <w:rPr>
          <w:rFonts w:ascii="Calibri" w:cs="Calibri" w:eastAsia="Calibri" w:hAnsi="Calibri"/>
          <w:b/>
          <w:bCs/>
          <w:color w:val="44443F"/>
          <w:sz w:val="21"/>
          <w:szCs w:val="21"/>
        </w:rPr>
        <w:t xml:space="preserve">Fabric.js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 oferece a base de manipulação da tela; o </w:t>
      </w:r>
      <w:r>
        <w:rPr>
          <w:rFonts w:ascii="Calibri" w:cs="Calibri" w:eastAsia="Calibri" w:hAnsi="Calibri"/>
          <w:b/>
          <w:bCs/>
          <w:color w:val="44443F"/>
          <w:sz w:val="21"/>
          <w:szCs w:val="21"/>
        </w:rPr>
        <w:t xml:space="preserve">Polotno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 é praticamente um editor pronto a embutir, com painéis de modelos e exportação já resolvidos. Recomenda-se avaliar primeiro o Polotno, por encurtar meses de desenvolvimento.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8A6031"/>
          <w:sz w:val="25"/>
          <w:szCs w:val="25"/>
        </w:rPr>
        <w:t xml:space="preserve">Camada 3 — Edição de imagem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Com alcance realista: recortar, ajustar brilho e contraste, aplicar filtros e, com um serviço dedicado, remover fundos. Retoque ao nível profissional não compensa o esforço; um conjunto curado de ferramentas simples satisfaz quase todos os casais.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C4536"/>
          <w:sz w:val="30"/>
          <w:szCs w:val="30"/>
        </w:rPr>
        <w:t xml:space="preserve">6. Convite digital e físico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A partir de um único desenho, o sistema deve gerar dois resultados distintos, cada um com as suas exigências.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Convite digital.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 Animado e personalizado por convidado, como já existe, agora configurável por secções e totalmente offline após descarga.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Convite físico.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 Um ficheiro pronto para impressão, com dimensões corretas, margem de corte, alta resolução e, idealmente, cor em CMYK — porque um ficheiro pensado para ecrã imprime com cores erradas. Convém ter modelos para os tamanhos de impressão mais comuns e, mais tarde, integração com uma gráfica.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C4536"/>
          <w:sz w:val="30"/>
          <w:szCs w:val="30"/>
        </w:rPr>
        <w:t xml:space="preserve">7. Funcionalidades para um sistema completo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Além do editor, um conjunto de funcionalidades transforma a ferramenta num companheiro de todo o casamento. Apresentam-se por área, com indicação da prioridade sugerida.</w:t>
      </w:r>
    </w:p>
    <w:tbl>
      <w:tblPr>
        <w:tblW w:type="dxa" w:w="9020"/>
        <w:tblBorders>
          <w:top w:val="single" w:color="D9C7A6" w:sz="4"/>
          <w:left w:val="single" w:color="D9C7A6" w:sz="4"/>
          <w:bottom w:val="single" w:color="D9C7A6" w:sz="4"/>
          <w:right w:val="single" w:color="D9C7A6" w:sz="4"/>
          <w:insideH w:val="single" w:color="D9C7A6" w:sz="4"/>
          <w:insideV w:val="single" w:color="D9C7A6" w:sz="4"/>
        </w:tblBorders>
      </w:tblPr>
      <w:tblGrid>
        <w:gridCol w:w="2000"/>
        <w:gridCol w:w="5320"/>
        <w:gridCol w:w="1700"/>
      </w:tblGrid>
      <w:tr>
        <w:trPr>
          <w:tblHeader/>
        </w:trPr>
        <w:tc>
          <w:tcPr>
            <w:tcW w:type="dxa" w:w="2000"/>
            <w:shd w:fill="2C453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5320"/>
            <w:shd w:fill="2C453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Funcionalidades</w:t>
            </w:r>
          </w:p>
        </w:tc>
        <w:tc>
          <w:tcPr>
            <w:tcW w:type="dxa" w:w="1700"/>
            <w:shd w:fill="2C453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Convites e design</w:t>
            </w:r>
          </w:p>
        </w:tc>
        <w:tc>
          <w:tcPr>
            <w:tcW w:type="dxa" w:w="53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Galeria de modelos, editor visual, paletas e tipografia, versões multilíngues, microsite do casamento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0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Convidados e RSVP</w:t>
            </w:r>
          </w:p>
        </w:tc>
        <w:tc>
          <w:tcPr>
            <w:tcW w:type="dxa" w:w="532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Perguntas personalizadas (menu, alergias, música), acompanhantes, plano de mesas visual por arrastar e largar</w:t>
            </w:r>
          </w:p>
        </w:tc>
        <w:tc>
          <w:tcPr>
            <w:tcW w:type="dxa" w:w="17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Dia do evento</w:t>
            </w:r>
          </w:p>
        </w:tc>
        <w:tc>
          <w:tcPr>
            <w:tcW w:type="dxa" w:w="53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Leitura de QR à porta, painel de chegadas ao vivo, passes para a carteira do telemóvel, estatísticas em tempo real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20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Comunicação</w:t>
            </w:r>
          </w:p>
        </w:tc>
        <w:tc>
          <w:tcPr>
            <w:tcW w:type="dxa" w:w="532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Envio por WhatsApp e email, lembretes automáticos, agradecimentos, avisos em massa</w:t>
            </w:r>
          </w:p>
        </w:tc>
        <w:tc>
          <w:tcPr>
            <w:tcW w:type="dxa" w:w="17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Planeamento</w:t>
            </w:r>
          </w:p>
        </w:tc>
        <w:tc>
          <w:tcPr>
            <w:tcW w:type="dxa" w:w="53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Tarefas com prazos, orçamento, fornecedores, lista de presentes (incluindo dinheiro / Multicaixa)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20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Social</w:t>
            </w:r>
          </w:p>
        </w:tc>
        <w:tc>
          <w:tcPr>
            <w:tcW w:type="dxa" w:w="532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Álbum partilhado de fotografias, mural de fotos projetado na festa</w:t>
            </w:r>
          </w:p>
        </w:tc>
        <w:tc>
          <w:tcPr>
            <w:tcW w:type="dxa" w:w="17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Baixa</w:t>
            </w:r>
          </w:p>
        </w:tc>
      </w:tr>
    </w:tbl>
    <w:p>
      <w:pPr>
        <w:spacing w:after="40"/>
      </w:pPr>
    </w:p>
    <w:p>
      <w:pPr>
        <w:spacing w:after="130" w:line="276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Diferenciador a destacar: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a integração com a API do WhatsApp Business, para envio de convites e lembretes a partir da plataforma, seria um forte fator de distinção neste mercado.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C4536"/>
          <w:sz w:val="30"/>
          <w:szCs w:val="30"/>
        </w:rPr>
        <w:t xml:space="preserve">8. Modelo de dados multi-inquilino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A base de dados passa a assentar em contas e eventos. Todas as entidades já existentes — convites, convidados, mesas — ganham a associação ao evento a que pertencem, garantindo o isolamento entre casais. Apresenta-se uma visão simplificada das principais entidades.</w:t>
      </w:r>
    </w:p>
    <w:tbl>
      <w:tblPr>
        <w:tblW w:type="dxa" w:w="9020"/>
        <w:tblBorders>
          <w:top w:val="single" w:color="D9C7A6" w:sz="4"/>
          <w:left w:val="single" w:color="D9C7A6" w:sz="4"/>
          <w:bottom w:val="single" w:color="D9C7A6" w:sz="4"/>
          <w:right w:val="single" w:color="D9C7A6" w:sz="4"/>
          <w:insideH w:val="single" w:color="D9C7A6" w:sz="4"/>
          <w:insideV w:val="single" w:color="D9C7A6" w:sz="4"/>
        </w:tblBorders>
      </w:tblPr>
      <w:tblGrid>
        <w:gridCol w:w="2200"/>
        <w:gridCol w:w="4120"/>
        <w:gridCol w:w="2700"/>
      </w:tblGrid>
      <w:tr>
        <w:trPr>
          <w:tblHeader/>
        </w:trPr>
        <w:tc>
          <w:tcPr>
            <w:tcW w:type="dxa" w:w="2200"/>
            <w:shd w:fill="2C453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4120"/>
            <w:shd w:fill="2C453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700"/>
            <w:shd w:fill="2C453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Relações principais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Conta / Casal</w:t>
            </w:r>
          </w:p>
        </w:tc>
        <w:tc>
          <w:tcPr>
            <w:tcW w:type="dxa" w:w="4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O utilizador que se regista e gere o serviço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Possui 1 ou mais eventos</w:t>
            </w:r>
          </w:p>
        </w:tc>
      </w:tr>
      <w:tr>
        <w:tc>
          <w:tcPr>
            <w:tcW w:type="dxa" w:w="22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Evento</w:t>
            </w:r>
          </w:p>
        </w:tc>
        <w:tc>
          <w:tcPr>
            <w:tcW w:type="dxa" w:w="412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Um casamento, com as suas datas e definições</w:t>
            </w:r>
          </w:p>
        </w:tc>
        <w:tc>
          <w:tcPr>
            <w:tcW w:type="dxa" w:w="27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Pertence a uma conta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Utilizador do evento</w:t>
            </w:r>
          </w:p>
        </w:tc>
        <w:tc>
          <w:tcPr>
            <w:tcW w:type="dxa" w:w="4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Casal, colaborador ou porteiro, com o seu papel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Ligado a um evento</w:t>
            </w:r>
          </w:p>
        </w:tc>
      </w:tr>
      <w:tr>
        <w:tc>
          <w:tcPr>
            <w:tcW w:type="dxa" w:w="22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Design de convite</w:t>
            </w:r>
          </w:p>
        </w:tc>
        <w:tc>
          <w:tcPr>
            <w:tcW w:type="dxa" w:w="412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O desenho e as definições do convite</w:t>
            </w:r>
          </w:p>
        </w:tc>
        <w:tc>
          <w:tcPr>
            <w:tcW w:type="dxa" w:w="27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Pertence a um evento; baseado num modelo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Modelo</w:t>
            </w:r>
          </w:p>
        </w:tc>
        <w:tc>
          <w:tcPr>
            <w:tcW w:type="dxa" w:w="4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Convite base reutilizável da galeria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Usado por vários eventos</w:t>
            </w:r>
          </w:p>
        </w:tc>
      </w:tr>
      <w:tr>
        <w:tc>
          <w:tcPr>
            <w:tcW w:type="dxa" w:w="22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Convite</w:t>
            </w:r>
          </w:p>
        </w:tc>
        <w:tc>
          <w:tcPr>
            <w:tcW w:type="dxa" w:w="412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Cada convite emitido a um grupo/pessoa</w:t>
            </w:r>
          </w:p>
        </w:tc>
        <w:tc>
          <w:tcPr>
            <w:tcW w:type="dxa" w:w="27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Pertence a um evento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Convidado</w:t>
            </w:r>
          </w:p>
        </w:tc>
        <w:tc>
          <w:tcPr>
            <w:tcW w:type="dxa" w:w="4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Cada pessoa incluída num convite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Pertence a um convite</w:t>
            </w:r>
          </w:p>
        </w:tc>
      </w:tr>
      <w:tr>
        <w:tc>
          <w:tcPr>
            <w:tcW w:type="dxa" w:w="22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Mesa</w:t>
            </w:r>
          </w:p>
        </w:tc>
        <w:tc>
          <w:tcPr>
            <w:tcW w:type="dxa" w:w="412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Lugar atribuído no plano de mesas</w:t>
            </w:r>
          </w:p>
        </w:tc>
        <w:tc>
          <w:tcPr>
            <w:tcW w:type="dxa" w:w="27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Pertence a um evento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Recurso / Imagem</w:t>
            </w:r>
          </w:p>
        </w:tc>
        <w:tc>
          <w:tcPr>
            <w:tcW w:type="dxa" w:w="4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Ficheiros carregados pelo casal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Pertence a um evento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C4536"/>
          <w:sz w:val="30"/>
          <w:szCs w:val="30"/>
        </w:rPr>
        <w:t xml:space="preserve">9. Plataforma, privacidade e segurança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Disponibilizar o serviço a terceiros traz responsabilidades que não podem ser deixadas para depois. A plataforma vai guardar dados pessoais de muitos convidados, o que exige rigor.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Isolamento total.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 Garantia técnica de que nenhum casal acede aos dados de outro.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Consentimento e direitos.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 Consentimento na recolha, e possibilidade de exportar e eliminar dados a pedido.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Segurança das contas.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 Senhas cifradas, recuperação segura e, idealmente, verificação em duas etapas.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Cópias de segurança.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 Rotinas automáticas de salvaguarda e um plano de recuperação.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C4536"/>
          <w:sz w:val="30"/>
          <w:szCs w:val="30"/>
        </w:rPr>
        <w:t xml:space="preserve">10. Modelo de negócio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Um modelo freemium enquadra-se bem: o convite digital básico é gratuito, e um plano pago desbloqueia o que traz mais valor. Apresenta-se uma proposta inicial, a afinar com os primeiros casais.</w:t>
      </w:r>
    </w:p>
    <w:tbl>
      <w:tblPr>
        <w:tblW w:type="dxa" w:w="9020"/>
        <w:tblBorders>
          <w:top w:val="single" w:color="D9C7A6" w:sz="4"/>
          <w:left w:val="single" w:color="D9C7A6" w:sz="4"/>
          <w:bottom w:val="single" w:color="D9C7A6" w:sz="4"/>
          <w:right w:val="single" w:color="D9C7A6" w:sz="4"/>
          <w:insideH w:val="single" w:color="D9C7A6" w:sz="4"/>
          <w:insideV w:val="single" w:color="D9C7A6" w:sz="4"/>
        </w:tblBorders>
      </w:tblPr>
      <w:tblGrid>
        <w:gridCol w:w="1700"/>
        <w:gridCol w:w="5320"/>
        <w:gridCol w:w="2000"/>
      </w:tblGrid>
      <w:tr>
        <w:trPr>
          <w:tblHeader/>
        </w:trPr>
        <w:tc>
          <w:tcPr>
            <w:tcW w:type="dxa" w:w="1700"/>
            <w:shd w:fill="2C453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dxa" w:w="5320"/>
            <w:shd w:fill="2C453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Inclui</w:t>
            </w:r>
          </w:p>
        </w:tc>
        <w:tc>
          <w:tcPr>
            <w:tcW w:type="dxa" w:w="2000"/>
            <w:shd w:fill="2C453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Público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Gratuito</w:t>
            </w:r>
          </w:p>
        </w:tc>
        <w:tc>
          <w:tcPr>
            <w:tcW w:type="dxa" w:w="53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Convite digital básico, modelos essenciais, gestão de convidados e RSVP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Todos os casais</w:t>
            </w:r>
          </w:p>
        </w:tc>
      </w:tr>
      <w:tr>
        <w:tc>
          <w:tcPr>
            <w:tcW w:type="dxa" w:w="17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Essencial</w:t>
            </w:r>
          </w:p>
        </w:tc>
        <w:tc>
          <w:tcPr>
            <w:tcW w:type="dxa" w:w="532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Modelos premium, editor visual, plano de mesas, comunicação por email</w:t>
            </w:r>
          </w:p>
        </w:tc>
        <w:tc>
          <w:tcPr>
            <w:tcW w:type="dxa" w:w="20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Casais que querem personalizar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Completo</w:t>
            </w:r>
          </w:p>
        </w:tc>
        <w:tc>
          <w:tcPr>
            <w:tcW w:type="dxa" w:w="53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Exportação para impressão, WhatsApp, domínio próprio, mais convidados, sem marca da plataforma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Casais exigentes e eventos maiores</w:t>
            </w:r>
          </w:p>
        </w:tc>
      </w:tr>
    </w:tbl>
    <w:p>
      <w:pPr>
        <w:spacing w:after="40"/>
      </w:pPr>
    </w:p>
    <w:p>
      <w:pPr>
        <w:spacing w:after="130" w:line="276"/>
        <w:jc w:val="both"/>
      </w:pP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Nota sobre pagamentos: 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a cobertura do Stripe em Angola é limitada, pelo que se recomenda estudar meios locais, como o Multicaixa Express, a par de uma opção internacional. Convém confirmar a disponibilidade atual junto de cada operador antes de decidir.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C4536"/>
          <w:sz w:val="30"/>
          <w:szCs w:val="30"/>
        </w:rPr>
        <w:t xml:space="preserve">11. Percurso de execução por fases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A execução deve ser faseada, para gerar valor cedo e não se afogar na complexidade do editor. Cada fase entrega algo utilizável e prepara a seguinte.</w:t>
      </w:r>
    </w:p>
    <w:tbl>
      <w:tblPr>
        <w:tblW w:type="dxa" w:w="9020"/>
        <w:tblBorders>
          <w:top w:val="single" w:color="D9C7A6" w:sz="4"/>
          <w:left w:val="single" w:color="D9C7A6" w:sz="4"/>
          <w:bottom w:val="single" w:color="D9C7A6" w:sz="4"/>
          <w:right w:val="single" w:color="D9C7A6" w:sz="4"/>
          <w:insideH w:val="single" w:color="D9C7A6" w:sz="4"/>
          <w:insideV w:val="single" w:color="D9C7A6" w:sz="4"/>
        </w:tblBorders>
      </w:tblPr>
      <w:tblGrid>
        <w:gridCol w:w="2100"/>
        <w:gridCol w:w="3120"/>
        <w:gridCol w:w="3800"/>
      </w:tblGrid>
      <w:tr>
        <w:trPr>
          <w:tblHeader/>
        </w:trPr>
        <w:tc>
          <w:tcPr>
            <w:tcW w:type="dxa" w:w="2100"/>
            <w:shd w:fill="2C453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120"/>
            <w:shd w:fill="2C453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3800"/>
            <w:shd w:fill="2C453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Entregáveis principais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Fase 0 — Fundação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Migrar para infraestrutura própria e tornar o sistema multi-inquilino</w:t>
            </w:r>
          </w:p>
        </w:tc>
        <w:tc>
          <w:tcPr>
            <w:tcW w:type="dxa" w:w="3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Alojamento, base de dados gerida, armazenamento de imagens, contas e eventos</w:t>
            </w:r>
          </w:p>
        </w:tc>
      </w:tr>
      <w:tr>
        <w:tc>
          <w:tcPr>
            <w:tcW w:type="dxa" w:w="21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Fase 1 — Modelos</w:t>
            </w:r>
          </w:p>
        </w:tc>
        <w:tc>
          <w:tcPr>
            <w:tcW w:type="dxa" w:w="312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Personalizar o convite por configuração</w:t>
            </w:r>
          </w:p>
        </w:tc>
        <w:tc>
          <w:tcPr>
            <w:tcW w:type="dxa" w:w="38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Galeria de modelos, edição de cores, textos, fotos e secções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Fase 2 — Editor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Liberdade total de desenho e impressão</w:t>
            </w:r>
          </w:p>
        </w:tc>
        <w:tc>
          <w:tcPr>
            <w:tcW w:type="dxa" w:w="3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Editor visual de tela, exportação para impressão pronta a usar</w:t>
            </w:r>
          </w:p>
        </w:tc>
      </w:tr>
      <w:tr>
        <w:tc>
          <w:tcPr>
            <w:tcW w:type="dxa" w:w="21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Fase 3 — Ecossistema</w:t>
            </w:r>
          </w:p>
        </w:tc>
        <w:tc>
          <w:tcPr>
            <w:tcW w:type="dxa" w:w="312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Completar a experiência do casamento</w:t>
            </w:r>
          </w:p>
        </w:tc>
        <w:tc>
          <w:tcPr>
            <w:tcW w:type="dxa" w:w="38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Edição de imagem, plano de mesas visual, WhatsApp e restantes módulos</w:t>
            </w:r>
          </w:p>
        </w:tc>
      </w:tr>
    </w:tbl>
    <w:p>
      <w:pPr>
        <w:spacing w:after="40"/>
      </w:pPr>
    </w:p>
    <w:p>
      <w:pPr>
        <w:spacing w:after="130" w:line="276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As duas decisões que condicionam tudo o resto são a </w:t>
      </w: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Fase 0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 (infraestrutura e multi-inquilinência) e a </w:t>
      </w:r>
      <w:r>
        <w:rPr>
          <w:rFonts w:ascii="Calibri" w:cs="Calibri" w:eastAsia="Calibri" w:hAnsi="Calibri"/>
          <w:b/>
          <w:bCs/>
          <w:color w:val="2C4536"/>
          <w:sz w:val="21"/>
          <w:szCs w:val="21"/>
        </w:rPr>
        <w:t xml:space="preserve">escolha do editor</w:t>
      </w:r>
      <w:r>
        <w:rPr>
          <w:rFonts w:ascii="Calibri" w:cs="Calibri" w:eastAsia="Calibri" w:hAnsi="Calibri"/>
          <w:color w:val="44443F"/>
          <w:sz w:val="21"/>
          <w:szCs w:val="21"/>
        </w:rPr>
        <w:t xml:space="preserve">. É por aí que se recomenda começar.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C4536"/>
          <w:sz w:val="30"/>
          <w:szCs w:val="30"/>
        </w:rPr>
        <w:t xml:space="preserve">12. Riscos e mitigações</w:t>
      </w:r>
    </w:p>
    <w:tbl>
      <w:tblPr>
        <w:tblW w:type="dxa" w:w="9020"/>
        <w:tblBorders>
          <w:top w:val="single" w:color="D9C7A6" w:sz="4"/>
          <w:left w:val="single" w:color="D9C7A6" w:sz="4"/>
          <w:bottom w:val="single" w:color="D9C7A6" w:sz="4"/>
          <w:right w:val="single" w:color="D9C7A6" w:sz="4"/>
          <w:insideH w:val="single" w:color="D9C7A6" w:sz="4"/>
          <w:insideV w:val="single" w:color="D9C7A6" w:sz="4"/>
        </w:tblBorders>
      </w:tblPr>
      <w:tblGrid>
        <w:gridCol w:w="3400"/>
        <w:gridCol w:w="5620"/>
      </w:tblGrid>
      <w:tr>
        <w:trPr>
          <w:tblHeader/>
        </w:trPr>
        <w:tc>
          <w:tcPr>
            <w:tcW w:type="dxa" w:w="3400"/>
            <w:shd w:fill="2C453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5620"/>
            <w:shd w:fill="2C453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Subestimar a complexidade do editor</w:t>
            </w:r>
          </w:p>
        </w:tc>
        <w:tc>
          <w:tcPr>
            <w:tcW w:type="dxa" w:w="56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Começar pelos modelos (Camada 1) e usar biblioteca madura (Polotno/Fabric.js) na Camada 2</w:t>
            </w:r>
          </w:p>
        </w:tc>
      </w:tr>
      <w:tr>
        <w:tc>
          <w:tcPr>
            <w:tcW w:type="dxa" w:w="34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Convites físicos com cores erradas na impressão</w:t>
            </w:r>
          </w:p>
        </w:tc>
        <w:tc>
          <w:tcPr>
            <w:tcW w:type="dxa" w:w="562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Adotar cedo os requisitos de impressão (margem de corte, resolução, CMYK)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Pagamentos em Angola</w:t>
            </w:r>
          </w:p>
        </w:tc>
        <w:tc>
          <w:tcPr>
            <w:tcW w:type="dxa" w:w="56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Combinar meios locais (Multicaixa) com uma opção internacional; confirmar cobertura atual</w:t>
            </w:r>
          </w:p>
        </w:tc>
      </w:tr>
      <w:tr>
        <w:tc>
          <w:tcPr>
            <w:tcW w:type="dxa" w:w="340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Privacidade dos dados de convidados</w:t>
            </w:r>
          </w:p>
        </w:tc>
        <w:tc>
          <w:tcPr>
            <w:tcW w:type="dxa" w:w="5620"/>
            <w:shd w:fill="FBF8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Isolamento por inquilino, consentimento e direitos de exportação/eliminação desde o início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Reescrita total demasiado arriscada</w:t>
            </w:r>
          </w:p>
        </w:tc>
        <w:tc>
          <w:tcPr>
            <w:tcW w:type="dxa" w:w="56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44443F"/>
                <w:sz w:val="19"/>
                <w:szCs w:val="19"/>
              </w:rPr>
              <w:t xml:space="preserve">Faseamento: a Fase 0 preserva a lógica já validada e evita um recomeço do zero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C4536"/>
          <w:sz w:val="30"/>
          <w:szCs w:val="30"/>
        </w:rPr>
        <w:t xml:space="preserve">13. Próximos passos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Recomenda-se avançar por esta ordem, mantendo cada passo pequeno e verificável: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Decidir a infraestrutura de alojamento, base de dados e armazenamento de imagens.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Desenhar e implementar o modelo de dados multi-inquilino, com contas e eventos.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Selecionar a abordagem do editor, avaliando o Polotno e o Fabric.js com um protótipo.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Construir a galeria de modelos e a personalização por configuração (Fase 1).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Calibri" w:cs="Calibri" w:eastAsia="Calibri" w:hAnsi="Calibri"/>
          <w:color w:val="44443F"/>
          <w:sz w:val="21"/>
          <w:szCs w:val="21"/>
        </w:rPr>
        <w:t xml:space="preserve">Validar com um pequeno grupo de casais reais antes de abrir o serviço ao público.</w:t>
      </w:r>
    </w:p>
    <w:p>
      <w:pPr>
        <w:spacing w:after="120"/>
      </w:pPr>
    </w:p>
    <w:p>
      <w:pPr>
        <w:pBdr>
          <w:top w:val="single" w:color="D9C7A6" w:sz="6"/>
        </w:pBdr>
        <w:spacing w:before="200"/>
      </w:pPr>
      <w:r>
        <w:rPr>
          <w:rFonts w:ascii="Calibri" w:cs="Calibri" w:eastAsia="Calibri" w:hAnsi="Calibri"/>
          <w:i/>
          <w:iCs/>
          <w:color w:val="6B726A"/>
          <w:sz w:val="20"/>
          <w:szCs w:val="20"/>
        </w:rPr>
        <w:t xml:space="preserve">Este documento é um guia vivo. Cada fase deve ser revista à luz do que os primeiros casais pedirem, mantendo o princípio que já deu bons resultados: passos pequenos, verificados e sempre ao serviço da experiência do casal.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7A6" w:sz="4"/>
      </w:pBdr>
      <w:jc w:val="center"/>
    </w:pPr>
    <w:r>
      <w:rPr>
        <w:rFonts w:ascii="Calibri" w:cs="Calibri" w:eastAsia="Calibri" w:hAnsi="Calibri"/>
        <w:color w:val="6B726A"/>
        <w:sz w:val="16"/>
        <w:szCs w:val="16"/>
      </w:rPr>
      <w:t xml:space="preserve">Plano de Produto · Plataforma de Convites e Gestão de Casamentos    |    </w:t>
    </w:r>
    <w:r>
      <w:rPr>
        <w:rFonts w:ascii="Calibri" w:cs="Calibri" w:eastAsia="Calibri" w:hAnsi="Calibri"/>
        <w:color w:val="6B72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B486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Produto — Plataforma de Convites e Gestão de Casamentos</dc:title>
  <dc:creator>Plataforma de Convites</dc:creator>
  <cp:lastModifiedBy>Un-named</cp:lastModifiedBy>
  <cp:revision>1</cp:revision>
  <dcterms:created xsi:type="dcterms:W3CDTF">2026-07-07T12:58:05.960Z</dcterms:created>
  <dcterms:modified xsi:type="dcterms:W3CDTF">2026-07-07T12:58:05.960Z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