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Руководство оператора</w:t>
      </w:r>
    </w:p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Выполнение программы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входа в систему пользователь открывает браузер и переходит по адресу программы. Появляется форма авторизации (рисунок 5.1).</w:t>
      </w:r>
    </w:p>
    <w:p>
      <w:pPr>
        <w:spacing w:before="240"/>
        <w:jc w:val="center"/>
      </w:pPr>
      <w:r>
        <w:drawing>
          <wp:inline distT="0" distB="0" distL="0" distR="0">
            <wp:extent cx="36195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5.1 — Форма авторизации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ввода логина и пароля система перенаправляет на дашборд. Боковое меню позволяет переключаться между разделами: «Сотрудники», «Приказы», «Отпуска», «Штатное расписание», «Отчёты», «Настройки».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«Сотрудники» содержит таблицу с данными всех работников (рисунок 5.2). Здесь можно искать по ФИО, фильтровать по отделу и статусу, добавлять новых и редактировать существующих.</w:t>
      </w:r>
    </w:p>
    <w:p>
      <w:pPr>
        <w:spacing w:before="240"/>
        <w:jc w:val="center"/>
      </w:pPr>
      <w:r>
        <w:drawing>
          <wp:inline distT="0" distB="0" distL="0" distR="0">
            <wp:extent cx="5143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5.2 — Список сотрудников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нажатии на строку открывается карточка сотрудника (рисунок 5.3) с персональными данными, историей кадровых операций и вкладками «Приказы», «Отпуска», «Документы».</w:t>
      </w:r>
    </w:p>
    <w:p>
      <w:pPr>
        <w:spacing w:before="240"/>
        <w:jc w:val="center"/>
      </w:pPr>
      <w:r>
        <w:drawing>
          <wp:inline distT="0" distB="0" distL="0" distR="0">
            <wp:extent cx="5143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5.3 — Карточка сотрудника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создания приказа из карточки нажимается кнопка «Создать приказ» — открывается форма (рисунок 5.4).</w:t>
      </w:r>
    </w:p>
    <w:p>
      <w:pPr>
        <w:spacing w:before="240"/>
        <w:jc w:val="center"/>
      </w:pPr>
      <w:r>
        <w:drawing>
          <wp:inline distT="0" distB="0" distL="0" distR="0">
            <wp:extent cx="5143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5.4 — Форма создания приказа</w:t>
      </w:r>
    </w:p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Сообщение оператору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Типы сообщений и их внешний вид описаны в таблице 5.1.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5.1 — Типы сообщений оператору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pct" w:w="1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Цвет</w:t>
            </w:r>
          </w:p>
        </w:tc>
        <w:tc>
          <w:tcPr>
            <w:tcW w:type="pct" w:w="4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Примеры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Информационное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Зелёный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«Сотрудник добавлен», «Приказ сформирован»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Исчезает через 3 сек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Предупреждение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Жёлтый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«Истекает испыт. срок», «Не заполнен СНИЛС»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внимания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Красный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«Не удалось сохранить», «Поле ФИО пустое»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Исправить и повторить</w:t>
            </w:r>
          </w:p>
        </w:tc>
      </w:tr>
    </w:tbl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image" Target="media/06526956ce656f2e95878447f3f709aa4bcb2f12.png"/>
  <Relationship Id="rId8" Type="http://schemas.openxmlformats.org/officeDocument/2006/relationships/image" Target="media/1e3577b599e0fea15d651a8216d925dfad40fe62.png"/>
  <Relationship Id="rId9" Type="http://schemas.openxmlformats.org/officeDocument/2006/relationships/image" Target="media/99820d44efe356407d5a49cf42fdce4d1c711aa0.png"/>
  <Relationship Id="rId10" Type="http://schemas.openxmlformats.org/officeDocument/2006/relationships/image" Target="media/17869d3e949194c08a091c9fa51551a8ae7ca679.png"/>
  <Relationship Id="rId11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2026-05-11T20:47:34.482Z</dcterms:created>
  <dcterms:modified xsi:type="dcterms:W3CDTF">2026-05-11T20:47:34.482Z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