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E8A2C34" w:rsidP="0E8A2C34" w:rsidRDefault="0E8A2C34" w14:paraId="52F40391" w14:textId="012B9BC6">
      <w:pPr>
        <w:pStyle w:val="Title"/>
      </w:pPr>
      <w:r w:rsidR="0E8A2C34">
        <w:rPr/>
        <w:t>Business Brief: BioLoop Solutions Fresh Bakery Waste Reduction Pilot</w:t>
      </w:r>
    </w:p>
    <w:p w:rsidR="0E8A2C34" w:rsidP="0E8A2C34" w:rsidRDefault="0E8A2C34" w14:paraId="0F04BDD7" w14:textId="6E0268AE">
      <w:pPr>
        <w:pStyle w:val="Subtitle"/>
      </w:pPr>
      <w:r w:rsidR="0E8A2C34">
        <w:rPr/>
        <w:t>Structured brief for internal planning and training use</w:t>
      </w:r>
    </w:p>
    <w:p w:rsidR="0E8A2C34" w:rsidP="0E8A2C34" w:rsidRDefault="0E8A2C34" w14:paraId="5895C70C" w14:textId="42D67136">
      <w:pPr>
        <w:pStyle w:val="Heading1"/>
      </w:pPr>
      <w:r w:rsidR="0E8A2C34">
        <w:rPr/>
        <w:t>1. Executive Summary</w:t>
      </w:r>
    </w:p>
    <w:p w:rsidR="0E8A2C34" w:rsidP="0E8A2C34" w:rsidRDefault="0E8A2C34" w14:paraId="27E90B68" w14:textId="30CF5147">
      <w:pPr>
        <w:pStyle w:val="Normal"/>
      </w:pPr>
      <w:r w:rsidR="0E8A2C34">
        <w:rPr/>
        <w:t>BioLoop Solutions is a synthetic global biosolutions company serving food processors and retailers. The organization is exploring a pilot to reduce avoidable food waste in fresh bakery and prepared foods, where customers report high spoilage, short shelf life and inconsistent store execution.</w:t>
      </w:r>
    </w:p>
    <w:p w:rsidR="0E8A2C34" w:rsidP="0E8A2C34" w:rsidRDefault="0E8A2C34" w14:paraId="6DE4B8B2" w14:textId="708F29C8">
      <w:pPr>
        <w:pStyle w:val="Normal"/>
      </w:pPr>
      <w:r w:rsidR="0E8A2C34">
        <w:rPr/>
        <w:t>The proposed pilot will test an enzyme-based freshness solution supported by process optimization and store handling guidance. The target is to reduce avoidable waste by 20% within 18 months; this should be treated as a target, not a forecast or guaranteed outcome.</w:t>
      </w:r>
    </w:p>
    <w:p w:rsidR="0E8A2C34" w:rsidP="0E8A2C34" w:rsidRDefault="0E8A2C34" w14:paraId="387B79C8" w14:textId="4AA80CFF">
      <w:pPr>
        <w:pStyle w:val="Heading1"/>
      </w:pPr>
      <w:r w:rsidR="0E8A2C34">
        <w:rPr/>
        <w:t>2. Business Context and Challenge</w:t>
      </w:r>
    </w:p>
    <w:tbl>
      <w:tblPr>
        <w:tblStyle w:val="GridTable4-Accent1"/>
        <w:tblW w:w="0" w:type="auto"/>
      </w:tblPr>
      <w:tblGrid>
        <w:gridCol w:w="3120"/>
        <w:gridCol w:w="3120"/>
        <w:gridCol w:w="3120"/>
      </w:tblGrid>
      <w:tr w:rsidR="0E8A2C34" w:rsidTr="0E8A2C34" w14:paraId="6A221E26">
        <w:tc>
          <w:tcPr>
            <w:tcW w:w="3120" w:type="dxa"/>
            <w:tcMar/>
          </w:tcPr>
          <w:p w:rsidR="0E8A2C34" w:rsidP="0E8A2C34" w:rsidRDefault="0E8A2C34" w14:paraId="7B9F3D15" w14:textId="754F59F4">
            <w:pPr>
              <w:pStyle w:val="Normal"/>
            </w:pPr>
            <w:r w:rsidRPr="0E8A2C34" w:rsidR="0E8A2C34">
              <w:rPr>
                <w:b w:val="1"/>
                <w:bCs w:val="1"/>
              </w:rPr>
              <w:t>Area</w:t>
            </w:r>
          </w:p>
        </w:tc>
        <w:tc>
          <w:tcPr>
            <w:tcW w:w="3120" w:type="dxa"/>
            <w:tcMar/>
          </w:tcPr>
          <w:p w:rsidR="0E8A2C34" w:rsidP="0E8A2C34" w:rsidRDefault="0E8A2C34" w14:paraId="04260F60" w14:textId="2443612F">
            <w:pPr>
              <w:pStyle w:val="Normal"/>
            </w:pPr>
            <w:r w:rsidRPr="0E8A2C34" w:rsidR="0E8A2C34">
              <w:rPr>
                <w:b w:val="1"/>
                <w:bCs w:val="1"/>
              </w:rPr>
              <w:t>Brief</w:t>
            </w:r>
          </w:p>
        </w:tc>
        <w:tc>
          <w:tcPr>
            <w:tcW w:w="3120" w:type="dxa"/>
            <w:tcMar/>
          </w:tcPr>
          <w:p w:rsidR="0E8A2C34" w:rsidP="0E8A2C34" w:rsidRDefault="0E8A2C34" w14:paraId="2FF5CE3E" w14:textId="740C38C4">
            <w:pPr>
              <w:pStyle w:val="Normal"/>
            </w:pPr>
            <w:r w:rsidRPr="0E8A2C34" w:rsidR="0E8A2C34">
              <w:rPr>
                <w:b w:val="1"/>
                <w:bCs w:val="1"/>
              </w:rPr>
              <w:t>Caveat / usage status</w:t>
            </w:r>
          </w:p>
        </w:tc>
      </w:tr>
      <w:tr w:rsidR="0E8A2C34" w:rsidTr="0E8A2C34" w14:paraId="75531B68">
        <w:tc>
          <w:tcPr>
            <w:tcW w:w="3120" w:type="dxa"/>
            <w:tcMar/>
          </w:tcPr>
          <w:p w:rsidR="0E8A2C34" w:rsidP="0E8A2C34" w:rsidRDefault="0E8A2C34" w14:paraId="25631ACC" w14:textId="1494D634">
            <w:pPr>
              <w:pStyle w:val="Normal"/>
            </w:pPr>
            <w:r w:rsidR="0E8A2C34">
              <w:rPr/>
              <w:t>Organization</w:t>
            </w:r>
          </w:p>
        </w:tc>
        <w:tc>
          <w:tcPr>
            <w:tcW w:w="3120" w:type="dxa"/>
            <w:tcMar/>
          </w:tcPr>
          <w:p w:rsidR="0E8A2C34" w:rsidP="0E8A2C34" w:rsidRDefault="0E8A2C34" w14:paraId="6814B128" w14:textId="79EEB9C7">
            <w:pPr>
              <w:pStyle w:val="Normal"/>
            </w:pPr>
            <w:r w:rsidR="0E8A2C34">
              <w:rPr/>
              <w:t>BioLoop Solutions, a synthetic global biosolutions company serving food processors and retailers.</w:t>
            </w:r>
          </w:p>
        </w:tc>
        <w:tc>
          <w:tcPr>
            <w:tcW w:w="3120" w:type="dxa"/>
            <w:tcMar/>
          </w:tcPr>
          <w:p w:rsidR="0E8A2C34" w:rsidP="0E8A2C34" w:rsidRDefault="0E8A2C34" w14:paraId="2DDCF981" w14:textId="17D03FB4">
            <w:pPr>
              <w:pStyle w:val="Normal"/>
            </w:pPr>
            <w:r w:rsidR="0E8A2C34">
              <w:rPr/>
              <w:t>Context approved for all tools.</w:t>
            </w:r>
          </w:p>
        </w:tc>
      </w:tr>
      <w:tr w:rsidR="0E8A2C34" w:rsidTr="0E8A2C34" w14:paraId="3BBF88DC">
        <w:tc>
          <w:tcPr>
            <w:tcW w:w="3120" w:type="dxa"/>
            <w:tcMar/>
          </w:tcPr>
          <w:p w:rsidR="0E8A2C34" w:rsidP="0E8A2C34" w:rsidRDefault="0E8A2C34" w14:paraId="2A35B429" w14:textId="7CCED8B5">
            <w:pPr>
              <w:pStyle w:val="Normal"/>
            </w:pPr>
            <w:r w:rsidR="0E8A2C34">
              <w:rPr/>
              <w:t>Business challenge</w:t>
            </w:r>
          </w:p>
        </w:tc>
        <w:tc>
          <w:tcPr>
            <w:tcW w:w="3120" w:type="dxa"/>
            <w:tcMar/>
          </w:tcPr>
          <w:p w:rsidR="0E8A2C34" w:rsidP="0E8A2C34" w:rsidRDefault="0E8A2C34" w14:paraId="36C4FC1F" w14:textId="54557C00">
            <w:pPr>
              <w:pStyle w:val="Normal"/>
            </w:pPr>
            <w:r w:rsidR="0E8A2C34">
              <w:rPr/>
              <w:t>Food waste in fresh bakery and prepared foods, driven by spoilage, short shelf life and inconsistent store execution.</w:t>
            </w:r>
          </w:p>
        </w:tc>
        <w:tc>
          <w:tcPr>
            <w:tcW w:w="3120" w:type="dxa"/>
            <w:tcMar/>
          </w:tcPr>
          <w:p w:rsidR="0E8A2C34" w:rsidP="0E8A2C34" w:rsidRDefault="0E8A2C34" w14:paraId="2F44ADED" w14:textId="5AD47E2D">
            <w:pPr>
              <w:pStyle w:val="Normal"/>
            </w:pPr>
            <w:r w:rsidR="0E8A2C34">
              <w:rPr/>
              <w:t>Problem statement approved for all tools.</w:t>
            </w:r>
          </w:p>
        </w:tc>
      </w:tr>
      <w:tr w:rsidR="0E8A2C34" w:rsidTr="0E8A2C34" w14:paraId="6CAAD347">
        <w:tc>
          <w:tcPr>
            <w:tcW w:w="3120" w:type="dxa"/>
            <w:tcMar/>
          </w:tcPr>
          <w:p w:rsidR="0E8A2C34" w:rsidP="0E8A2C34" w:rsidRDefault="0E8A2C34" w14:paraId="031EB87E" w14:textId="0FFE490B">
            <w:pPr>
              <w:pStyle w:val="Normal"/>
            </w:pPr>
            <w:r w:rsidR="0E8A2C34">
              <w:rPr/>
              <w:t>Baseline</w:t>
            </w:r>
          </w:p>
        </w:tc>
        <w:tc>
          <w:tcPr>
            <w:tcW w:w="3120" w:type="dxa"/>
            <w:tcMar/>
          </w:tcPr>
          <w:p w:rsidR="0E8A2C34" w:rsidP="0E8A2C34" w:rsidRDefault="0E8A2C34" w14:paraId="4B903E33" w14:textId="553D7BDB">
            <w:pPr>
              <w:pStyle w:val="Normal"/>
            </w:pPr>
            <w:r w:rsidR="0E8A2C34">
              <w:rPr/>
              <w:t>18,400 tonnes per year of avoidable waste across the pilot network.</w:t>
            </w:r>
          </w:p>
        </w:tc>
        <w:tc>
          <w:tcPr>
            <w:tcW w:w="3120" w:type="dxa"/>
            <w:tcMar/>
          </w:tcPr>
          <w:p w:rsidR="0E8A2C34" w:rsidP="0E8A2C34" w:rsidRDefault="0E8A2C34" w14:paraId="23552C6B" w14:textId="1FC83E6F">
            <w:pPr>
              <w:pStyle w:val="Normal"/>
            </w:pPr>
            <w:r w:rsidR="0E8A2C34">
              <w:rPr/>
              <w:t>Estimate supplied by the fictional customer; calculation method is not yet audited and must be verified before external use.</w:t>
            </w:r>
          </w:p>
        </w:tc>
      </w:tr>
      <w:tr w:rsidR="0E8A2C34" w:rsidTr="0E8A2C34" w14:paraId="0CD27684">
        <w:tc>
          <w:tcPr>
            <w:tcW w:w="3120" w:type="dxa"/>
            <w:tcMar/>
          </w:tcPr>
          <w:p w:rsidR="0E8A2C34" w:rsidP="0E8A2C34" w:rsidRDefault="0E8A2C34" w14:paraId="46A08293" w14:textId="6F0271A1">
            <w:pPr>
              <w:pStyle w:val="Normal"/>
            </w:pPr>
            <w:r w:rsidR="0E8A2C34">
              <w:rPr/>
              <w:t>Target</w:t>
            </w:r>
          </w:p>
        </w:tc>
        <w:tc>
          <w:tcPr>
            <w:tcW w:w="3120" w:type="dxa"/>
            <w:tcMar/>
          </w:tcPr>
          <w:p w:rsidR="0E8A2C34" w:rsidP="0E8A2C34" w:rsidRDefault="0E8A2C34" w14:paraId="51ECC694" w14:textId="35F8BE59">
            <w:pPr>
              <w:pStyle w:val="Normal"/>
            </w:pPr>
            <w:r w:rsidR="0E8A2C34">
              <w:rPr/>
              <w:t>Reduce avoidable waste by 20% within 18 months.</w:t>
            </w:r>
          </w:p>
        </w:tc>
        <w:tc>
          <w:tcPr>
            <w:tcW w:w="3120" w:type="dxa"/>
            <w:tcMar/>
          </w:tcPr>
          <w:p w:rsidR="0E8A2C34" w:rsidP="0E8A2C34" w:rsidRDefault="0E8A2C34" w14:paraId="2E20235C" w14:textId="2482010A">
            <w:pPr>
              <w:pStyle w:val="Normal"/>
            </w:pPr>
            <w:r w:rsidR="0E8A2C34">
              <w:rPr/>
              <w:t>Target only; do not position as a forecast or guaranteed result.</w:t>
            </w:r>
          </w:p>
        </w:tc>
      </w:tr>
    </w:tbl>
    <w:p w:rsidR="0E8A2C34" w:rsidP="0E8A2C34" w:rsidRDefault="0E8A2C34" w14:paraId="64A6F360" w14:textId="78AE2AC8">
      <w:pPr>
        <w:pStyle w:val="Normal"/>
      </w:pPr>
    </w:p>
    <w:p w:rsidR="0E8A2C34" w:rsidP="0E8A2C34" w:rsidRDefault="0E8A2C34" w14:paraId="6E405449" w14:textId="4EEFD283">
      <w:pPr>
        <w:pStyle w:val="Heading1"/>
      </w:pPr>
      <w:r w:rsidR="0E8A2C34">
        <w:rPr/>
        <w:t>3. Proposed Intervention</w:t>
      </w:r>
    </w:p>
    <w:p w:rsidR="0E8A2C34" w:rsidP="0E8A2C34" w:rsidRDefault="0E8A2C34" w14:paraId="5B893A13" w14:textId="32CB0BBC">
      <w:pPr>
        <w:pStyle w:val="Normal"/>
      </w:pPr>
      <w:r w:rsidR="0E8A2C34">
        <w:rPr/>
        <w:t>The solution hypothesis combines an enzyme-based freshness solution with process optimization and store handling guidance. This should be positioned as a pilot concept, not as a proven intervention, because technical fit requires application testing and regulatory review.</w:t>
      </w:r>
    </w:p>
    <w:p w:rsidR="0E8A2C34" w:rsidP="0E8A2C34" w:rsidRDefault="0E8A2C34" w14:paraId="5530E3A0" w14:textId="0CC47FE2">
      <w:pPr>
        <w:pStyle w:val="ListParagraph"/>
        <w:numPr>
          <w:ilvl w:val="0"/>
          <w:numId w:val="1"/>
        </w:numPr>
        <w:rPr/>
      </w:pPr>
      <w:r w:rsidRPr="0E8A2C34" w:rsidR="0E8A2C34">
        <w:rPr>
          <w:b w:val="1"/>
          <w:bCs w:val="1"/>
        </w:rPr>
        <w:t>Freshness solution:</w:t>
      </w:r>
      <w:r w:rsidR="0E8A2C34">
        <w:rPr/>
        <w:t xml:space="preserve"> Test enzyme-based functionality against target bakery and prepared food categories.</w:t>
      </w:r>
    </w:p>
    <w:p w:rsidR="0E8A2C34" w:rsidP="0E8A2C34" w:rsidRDefault="0E8A2C34" w14:paraId="2AE63BFB" w14:textId="2A890AA1">
      <w:pPr>
        <w:pStyle w:val="ListParagraph"/>
        <w:numPr>
          <w:ilvl w:val="0"/>
          <w:numId w:val="1"/>
        </w:numPr>
        <w:rPr/>
      </w:pPr>
      <w:r w:rsidRPr="0E8A2C34" w:rsidR="0E8A2C34">
        <w:rPr>
          <w:b w:val="1"/>
          <w:bCs w:val="1"/>
        </w:rPr>
        <w:t>Process optimization:</w:t>
      </w:r>
      <w:r w:rsidR="0E8A2C34">
        <w:rPr/>
        <w:t xml:space="preserve"> Improve production, storage, transport and replenishment practices where they affect spoilage.</w:t>
      </w:r>
    </w:p>
    <w:p w:rsidR="0E8A2C34" w:rsidP="0E8A2C34" w:rsidRDefault="0E8A2C34" w14:paraId="7D4F5F1D" w14:textId="283B1717">
      <w:pPr>
        <w:pStyle w:val="ListParagraph"/>
        <w:numPr>
          <w:ilvl w:val="0"/>
          <w:numId w:val="1"/>
        </w:numPr>
        <w:rPr/>
      </w:pPr>
      <w:r w:rsidRPr="0E8A2C34" w:rsidR="0E8A2C34">
        <w:rPr>
          <w:b w:val="1"/>
          <w:bCs w:val="1"/>
        </w:rPr>
        <w:t>Store handling guidance:</w:t>
      </w:r>
      <w:r w:rsidR="0E8A2C34">
        <w:rPr/>
        <w:t xml:space="preserve"> Provide practical guidance for execution consistency across retail locations.</w:t>
      </w:r>
    </w:p>
    <w:p w:rsidR="0E8A2C34" w:rsidP="0E8A2C34" w:rsidRDefault="0E8A2C34" w14:paraId="1C118A39" w14:textId="705371FF">
      <w:pPr>
        <w:pStyle w:val="ListParagraph"/>
        <w:numPr>
          <w:ilvl w:val="0"/>
          <w:numId w:val="1"/>
        </w:numPr>
        <w:rPr/>
      </w:pPr>
      <w:r w:rsidRPr="0E8A2C34" w:rsidR="0E8A2C34">
        <w:rPr>
          <w:b w:val="1"/>
          <w:bCs w:val="1"/>
        </w:rPr>
        <w:t>Governance requirement:</w:t>
      </w:r>
      <w:r w:rsidR="0E8A2C34">
        <w:rPr/>
        <w:t xml:space="preserve"> Confirm compatibility, regulatory approvals and measurement ownership before scaling.</w:t>
      </w:r>
    </w:p>
    <w:p w:rsidR="0E8A2C34" w:rsidP="0E8A2C34" w:rsidRDefault="0E8A2C34" w14:paraId="26D45009" w14:textId="5AE62902">
      <w:pPr>
        <w:pStyle w:val="Heading1"/>
      </w:pPr>
      <w:r w:rsidR="0E8A2C34">
        <w:rPr/>
        <w:t>4. Pilot Scope</w:t>
      </w:r>
    </w:p>
    <w:p w:rsidR="0E8A2C34" w:rsidP="0E8A2C34" w:rsidRDefault="0E8A2C34" w14:paraId="66DBB3F2" w14:textId="09A76E01">
      <w:pPr>
        <w:pStyle w:val="Normal"/>
      </w:pPr>
      <w:r w:rsidR="0E8A2C34">
        <w:rPr/>
        <w:t>The pilot will cover 24 industrial bakeries and 180 retail stores across Germany, Spain and India. These countries are selected to reflect varied climate, supply chain and consumer contexts. The scope is synthetic and approved for training use.</w:t>
      </w:r>
    </w:p>
    <w:p w:rsidR="0E8A2C34" w:rsidP="0E8A2C34" w:rsidRDefault="0E8A2C34" w14:paraId="27F486AD" w14:textId="016FBEA5">
      <w:pPr>
        <w:pStyle w:val="Heading1"/>
      </w:pPr>
      <w:r w:rsidR="0E8A2C34">
        <w:rPr/>
        <w:t>5. Success Measures and Evaluation Approach</w:t>
      </w:r>
    </w:p>
    <w:tbl>
      <w:tblPr>
        <w:tblStyle w:val="GridTable4-Accent1"/>
        <w:tblW w:w="0" w:type="auto"/>
      </w:tblPr>
      <w:tblGrid>
        <w:gridCol w:w="3120"/>
        <w:gridCol w:w="3120"/>
        <w:gridCol w:w="3120"/>
      </w:tblGrid>
      <w:tr w:rsidR="0E8A2C34" w:rsidTr="0E8A2C34" w14:paraId="35732736">
        <w:tc>
          <w:tcPr>
            <w:tcW w:w="3120" w:type="dxa"/>
            <w:tcMar/>
          </w:tcPr>
          <w:p w:rsidR="0E8A2C34" w:rsidP="0E8A2C34" w:rsidRDefault="0E8A2C34" w14:paraId="12F80524" w14:textId="234D07EF">
            <w:pPr>
              <w:pStyle w:val="Normal"/>
            </w:pPr>
            <w:r w:rsidRPr="0E8A2C34" w:rsidR="0E8A2C34">
              <w:rPr>
                <w:b w:val="1"/>
                <w:bCs w:val="1"/>
              </w:rPr>
              <w:t>Measure</w:t>
            </w:r>
          </w:p>
        </w:tc>
        <w:tc>
          <w:tcPr>
            <w:tcW w:w="3120" w:type="dxa"/>
            <w:tcMar/>
          </w:tcPr>
          <w:p w:rsidR="0E8A2C34" w:rsidP="0E8A2C34" w:rsidRDefault="0E8A2C34" w14:paraId="7E2EC196" w14:textId="689CEDB2">
            <w:pPr>
              <w:pStyle w:val="Normal"/>
            </w:pPr>
            <w:r w:rsidRPr="0E8A2C34" w:rsidR="0E8A2C34">
              <w:rPr>
                <w:b w:val="1"/>
                <w:bCs w:val="1"/>
              </w:rPr>
              <w:t>What to track</w:t>
            </w:r>
          </w:p>
        </w:tc>
        <w:tc>
          <w:tcPr>
            <w:tcW w:w="3120" w:type="dxa"/>
            <w:tcMar/>
          </w:tcPr>
          <w:p w:rsidR="0E8A2C34" w:rsidP="0E8A2C34" w:rsidRDefault="0E8A2C34" w14:paraId="2F16273D" w14:textId="4F441A4A">
            <w:pPr>
              <w:pStyle w:val="Normal"/>
            </w:pPr>
            <w:r w:rsidRPr="0E8A2C34" w:rsidR="0E8A2C34">
              <w:rPr>
                <w:b w:val="1"/>
                <w:bCs w:val="1"/>
              </w:rPr>
              <w:t>How to use it</w:t>
            </w:r>
          </w:p>
        </w:tc>
      </w:tr>
      <w:tr w:rsidR="0E8A2C34" w:rsidTr="0E8A2C34" w14:paraId="03DA460C">
        <w:tc>
          <w:tcPr>
            <w:tcW w:w="3120" w:type="dxa"/>
            <w:tcMar/>
          </w:tcPr>
          <w:p w:rsidR="0E8A2C34" w:rsidP="0E8A2C34" w:rsidRDefault="0E8A2C34" w14:paraId="42E0354A" w14:textId="47E91370">
            <w:pPr>
              <w:pStyle w:val="Normal"/>
            </w:pPr>
            <w:r w:rsidR="0E8A2C34">
              <w:rPr/>
              <w:t>Waste tonnes</w:t>
            </w:r>
          </w:p>
        </w:tc>
        <w:tc>
          <w:tcPr>
            <w:tcW w:w="3120" w:type="dxa"/>
            <w:tcMar/>
          </w:tcPr>
          <w:p w:rsidR="0E8A2C34" w:rsidP="0E8A2C34" w:rsidRDefault="0E8A2C34" w14:paraId="4FF0A525" w14:textId="50078F75">
            <w:pPr>
              <w:pStyle w:val="Normal"/>
            </w:pPr>
            <w:r w:rsidR="0E8A2C34">
              <w:rPr/>
              <w:t>Avoidable waste before, during and after the pilot.</w:t>
            </w:r>
          </w:p>
        </w:tc>
        <w:tc>
          <w:tcPr>
            <w:tcW w:w="3120" w:type="dxa"/>
            <w:tcMar/>
          </w:tcPr>
          <w:p w:rsidR="0E8A2C34" w:rsidP="0E8A2C34" w:rsidRDefault="0E8A2C34" w14:paraId="0D9C8100" w14:textId="68216223">
            <w:pPr>
              <w:pStyle w:val="Normal"/>
            </w:pPr>
            <w:r w:rsidR="0E8A2C34">
              <w:rPr/>
              <w:t>Compare baseline, pilot and control groups.</w:t>
            </w:r>
          </w:p>
        </w:tc>
      </w:tr>
      <w:tr w:rsidR="0E8A2C34" w:rsidTr="0E8A2C34" w14:paraId="3658C265">
        <w:tc>
          <w:tcPr>
            <w:tcW w:w="3120" w:type="dxa"/>
            <w:tcMar/>
          </w:tcPr>
          <w:p w:rsidR="0E8A2C34" w:rsidP="0E8A2C34" w:rsidRDefault="0E8A2C34" w14:paraId="5A8E4222" w14:textId="0BCCD1E5">
            <w:pPr>
              <w:pStyle w:val="Normal"/>
            </w:pPr>
            <w:r w:rsidR="0E8A2C34">
              <w:rPr/>
              <w:t>Shelf-life hours</w:t>
            </w:r>
          </w:p>
        </w:tc>
        <w:tc>
          <w:tcPr>
            <w:tcW w:w="3120" w:type="dxa"/>
            <w:tcMar/>
          </w:tcPr>
          <w:p w:rsidR="0E8A2C34" w:rsidP="0E8A2C34" w:rsidRDefault="0E8A2C34" w14:paraId="00ED5E0B" w14:textId="06EC9F80">
            <w:pPr>
              <w:pStyle w:val="Normal"/>
            </w:pPr>
            <w:r w:rsidR="0E8A2C34">
              <w:rPr/>
              <w:t>Change in sellable freshness window.</w:t>
            </w:r>
          </w:p>
        </w:tc>
        <w:tc>
          <w:tcPr>
            <w:tcW w:w="3120" w:type="dxa"/>
            <w:tcMar/>
          </w:tcPr>
          <w:p w:rsidR="0E8A2C34" w:rsidP="0E8A2C34" w:rsidRDefault="0E8A2C34" w14:paraId="6E9FF86A" w14:textId="279E194F">
            <w:pPr>
              <w:pStyle w:val="Normal"/>
            </w:pPr>
            <w:r w:rsidR="0E8A2C34">
              <w:rPr/>
              <w:t>Assess whether the intervention improves product availability and reduces markdown pressure.</w:t>
            </w:r>
          </w:p>
        </w:tc>
      </w:tr>
      <w:tr w:rsidR="0E8A2C34" w:rsidTr="0E8A2C34" w14:paraId="6A7CCDFB">
        <w:tc>
          <w:tcPr>
            <w:tcW w:w="3120" w:type="dxa"/>
            <w:tcMar/>
          </w:tcPr>
          <w:p w:rsidR="0E8A2C34" w:rsidP="0E8A2C34" w:rsidRDefault="0E8A2C34" w14:paraId="631A83D3" w14:textId="5CFE94F1">
            <w:pPr>
              <w:pStyle w:val="Normal"/>
            </w:pPr>
            <w:r w:rsidR="0E8A2C34">
              <w:rPr/>
              <w:t>Returns and complaints</w:t>
            </w:r>
          </w:p>
        </w:tc>
        <w:tc>
          <w:tcPr>
            <w:tcW w:w="3120" w:type="dxa"/>
            <w:tcMar/>
          </w:tcPr>
          <w:p w:rsidR="0E8A2C34" w:rsidP="0E8A2C34" w:rsidRDefault="0E8A2C34" w14:paraId="524E07E4" w14:textId="5C69AA72">
            <w:pPr>
              <w:pStyle w:val="Normal"/>
            </w:pPr>
            <w:r w:rsidR="0E8A2C34">
              <w:rPr/>
              <w:t>Retailer returns, consumer complaints and quality incidents.</w:t>
            </w:r>
          </w:p>
        </w:tc>
        <w:tc>
          <w:tcPr>
            <w:tcW w:w="3120" w:type="dxa"/>
            <w:tcMar/>
          </w:tcPr>
          <w:p w:rsidR="0E8A2C34" w:rsidP="0E8A2C34" w:rsidRDefault="0E8A2C34" w14:paraId="580C17ED" w14:textId="34C4C74E">
            <w:pPr>
              <w:pStyle w:val="Normal"/>
            </w:pPr>
            <w:r w:rsidR="0E8A2C34">
              <w:rPr/>
              <w:t>Identify whether freshness gains affect customer experience.</w:t>
            </w:r>
          </w:p>
        </w:tc>
      </w:tr>
      <w:tr w:rsidR="0E8A2C34" w:rsidTr="0E8A2C34" w14:paraId="0D8240A4">
        <w:tc>
          <w:tcPr>
            <w:tcW w:w="3120" w:type="dxa"/>
            <w:tcMar/>
          </w:tcPr>
          <w:p w:rsidR="0E8A2C34" w:rsidP="0E8A2C34" w:rsidRDefault="0E8A2C34" w14:paraId="562704DB" w14:textId="2A19B711">
            <w:pPr>
              <w:pStyle w:val="Normal"/>
            </w:pPr>
            <w:r w:rsidR="0E8A2C34">
              <w:rPr/>
              <w:t>Energy use</w:t>
            </w:r>
          </w:p>
        </w:tc>
        <w:tc>
          <w:tcPr>
            <w:tcW w:w="3120" w:type="dxa"/>
            <w:tcMar/>
          </w:tcPr>
          <w:p w:rsidR="0E8A2C34" w:rsidP="0E8A2C34" w:rsidRDefault="0E8A2C34" w14:paraId="7A6A130E" w14:textId="36D589D7">
            <w:pPr>
              <w:pStyle w:val="Normal"/>
            </w:pPr>
            <w:r w:rsidR="0E8A2C34">
              <w:rPr/>
              <w:t>Energy impact across storage and handling steps.</w:t>
            </w:r>
          </w:p>
        </w:tc>
        <w:tc>
          <w:tcPr>
            <w:tcW w:w="3120" w:type="dxa"/>
            <w:tcMar/>
          </w:tcPr>
          <w:p w:rsidR="0E8A2C34" w:rsidP="0E8A2C34" w:rsidRDefault="0E8A2C34" w14:paraId="24AB092F" w14:textId="124E8FD1">
            <w:pPr>
              <w:pStyle w:val="Normal"/>
            </w:pPr>
            <w:r w:rsidR="0E8A2C34">
              <w:rPr/>
              <w:t>Check whether waste reduction benefits are not offset by higher operational energy use.</w:t>
            </w:r>
          </w:p>
        </w:tc>
      </w:tr>
      <w:tr w:rsidR="0E8A2C34" w:rsidTr="0E8A2C34" w14:paraId="3528CE61">
        <w:tc>
          <w:tcPr>
            <w:tcW w:w="3120" w:type="dxa"/>
            <w:tcMar/>
          </w:tcPr>
          <w:p w:rsidR="0E8A2C34" w:rsidP="0E8A2C34" w:rsidRDefault="0E8A2C34" w14:paraId="025B14A0" w14:textId="57AB4C79">
            <w:pPr>
              <w:pStyle w:val="Normal"/>
            </w:pPr>
            <w:r w:rsidR="0E8A2C34">
              <w:rPr/>
              <w:t>Cost per sellable unit</w:t>
            </w:r>
          </w:p>
        </w:tc>
        <w:tc>
          <w:tcPr>
            <w:tcW w:w="3120" w:type="dxa"/>
            <w:tcMar/>
          </w:tcPr>
          <w:p w:rsidR="0E8A2C34" w:rsidP="0E8A2C34" w:rsidRDefault="0E8A2C34" w14:paraId="4522913D" w14:textId="280FBB1A">
            <w:pPr>
              <w:pStyle w:val="Normal"/>
            </w:pPr>
            <w:r w:rsidR="0E8A2C34">
              <w:rPr/>
              <w:t>Total pilot cost relative to saleable output.</w:t>
            </w:r>
          </w:p>
        </w:tc>
        <w:tc>
          <w:tcPr>
            <w:tcW w:w="3120" w:type="dxa"/>
            <w:tcMar/>
          </w:tcPr>
          <w:p w:rsidR="0E8A2C34" w:rsidP="0E8A2C34" w:rsidRDefault="0E8A2C34" w14:paraId="093C5EBE" w14:textId="53DFA443">
            <w:pPr>
              <w:pStyle w:val="Normal"/>
            </w:pPr>
            <w:r w:rsidR="0E8A2C34">
              <w:rPr/>
              <w:t>Assess commercial viability and scalability.</w:t>
            </w:r>
          </w:p>
        </w:tc>
      </w:tr>
    </w:tbl>
    <w:p w:rsidR="0E8A2C34" w:rsidP="0E8A2C34" w:rsidRDefault="0E8A2C34" w14:paraId="4CC6A035" w14:textId="5C4272F2">
      <w:pPr>
        <w:pStyle w:val="Normal"/>
      </w:pPr>
    </w:p>
    <w:p w:rsidR="0E8A2C34" w:rsidP="0E8A2C34" w:rsidRDefault="0E8A2C34" w14:paraId="6746A259" w14:textId="43A95793">
      <w:pPr>
        <w:pStyle w:val="Heading1"/>
      </w:pPr>
      <w:r w:rsidR="0E8A2C34">
        <w:rPr/>
        <w:t>6. Constraints and Guardrails</w:t>
      </w:r>
    </w:p>
    <w:p w:rsidR="0E8A2C34" w:rsidP="0E8A2C34" w:rsidRDefault="0E8A2C34" w14:paraId="0A35F475" w14:textId="5983ACB0">
      <w:pPr>
        <w:pStyle w:val="ListParagraph"/>
        <w:numPr>
          <w:ilvl w:val="0"/>
          <w:numId w:val="2"/>
        </w:numPr>
        <w:rPr/>
      </w:pPr>
      <w:r w:rsidR="0E8A2C34">
        <w:rPr/>
        <w:t>No customer personal data should be used.</w:t>
      </w:r>
    </w:p>
    <w:p w:rsidR="0E8A2C34" w:rsidP="0E8A2C34" w:rsidRDefault="0E8A2C34" w14:paraId="08915962" w14:textId="58829B74">
      <w:pPr>
        <w:pStyle w:val="ListParagraph"/>
        <w:numPr>
          <w:ilvl w:val="0"/>
          <w:numId w:val="2"/>
        </w:numPr>
        <w:rPr/>
      </w:pPr>
      <w:r w:rsidR="0E8A2C34">
        <w:rPr/>
        <w:t>No confidential formulations should be included in the pilot documentation or AI tool inputs.</w:t>
      </w:r>
    </w:p>
    <w:p w:rsidR="0E8A2C34" w:rsidP="0E8A2C34" w:rsidRDefault="0E8A2C34" w14:paraId="614DA103" w14:textId="0ECC6F45">
      <w:pPr>
        <w:pStyle w:val="ListParagraph"/>
        <w:numPr>
          <w:ilvl w:val="0"/>
          <w:numId w:val="2"/>
        </w:numPr>
        <w:rPr/>
      </w:pPr>
      <w:r w:rsidR="0E8A2C34">
        <w:rPr/>
        <w:t>The test window is limited to 12 weeks.</w:t>
      </w:r>
    </w:p>
    <w:p w:rsidR="0E8A2C34" w:rsidP="0E8A2C34" w:rsidRDefault="0E8A2C34" w14:paraId="2F03CDCD" w14:textId="0023A2CC">
      <w:pPr>
        <w:pStyle w:val="ListParagraph"/>
        <w:numPr>
          <w:ilvl w:val="0"/>
          <w:numId w:val="2"/>
        </w:numPr>
        <w:rPr/>
      </w:pPr>
      <w:r w:rsidR="0E8A2C34">
        <w:rPr/>
        <w:t>The pilot ceiling is EUR 450k, including testing, training and measurement.</w:t>
      </w:r>
    </w:p>
    <w:p w:rsidR="0E8A2C34" w:rsidP="0E8A2C34" w:rsidRDefault="0E8A2C34" w14:paraId="6AEEED0D" w14:textId="509F9C65">
      <w:pPr>
        <w:pStyle w:val="ListParagraph"/>
        <w:numPr>
          <w:ilvl w:val="0"/>
          <w:numId w:val="2"/>
        </w:numPr>
        <w:rPr/>
      </w:pPr>
      <w:r w:rsidR="0E8A2C34">
        <w:rPr/>
        <w:t>All quantitative claims must be labelled clearly and verified before external communication.</w:t>
      </w:r>
    </w:p>
    <w:p w:rsidR="0E8A2C34" w:rsidP="0E8A2C34" w:rsidRDefault="0E8A2C34" w14:paraId="6C226DA6" w14:textId="6CDF1DD2">
      <w:pPr>
        <w:pStyle w:val="Heading1"/>
      </w:pPr>
      <w:r w:rsidR="0E8A2C34">
        <w:rPr/>
        <w:t>7. Stakeholder Considerations</w:t>
      </w:r>
    </w:p>
    <w:tbl>
      <w:tblPr>
        <w:tblStyle w:val="GridTable4-Accent1"/>
        <w:tblW w:w="0" w:type="auto"/>
      </w:tblPr>
      <w:tblGrid>
        <w:gridCol w:w="4680"/>
        <w:gridCol w:w="4680"/>
      </w:tblGrid>
      <w:tr w:rsidR="0E8A2C34" w:rsidTr="0E8A2C34" w14:paraId="0A36A448">
        <w:tc>
          <w:tcPr>
            <w:tcW w:w="4680" w:type="dxa"/>
            <w:tcMar/>
          </w:tcPr>
          <w:p w:rsidR="0E8A2C34" w:rsidP="0E8A2C34" w:rsidRDefault="0E8A2C34" w14:paraId="0A4EE2F4" w14:textId="6DB5384F">
            <w:pPr>
              <w:pStyle w:val="Normal"/>
            </w:pPr>
            <w:r w:rsidRPr="0E8A2C34" w:rsidR="0E8A2C34">
              <w:rPr>
                <w:b w:val="1"/>
                <w:bCs w:val="1"/>
              </w:rPr>
              <w:t>Stakeholder</w:t>
            </w:r>
          </w:p>
        </w:tc>
        <w:tc>
          <w:tcPr>
            <w:tcW w:w="4680" w:type="dxa"/>
            <w:tcMar/>
          </w:tcPr>
          <w:p w:rsidR="0E8A2C34" w:rsidP="0E8A2C34" w:rsidRDefault="0E8A2C34" w14:paraId="4D8CF787" w14:textId="0718D7D4">
            <w:pPr>
              <w:pStyle w:val="Normal"/>
            </w:pPr>
            <w:r w:rsidRPr="0E8A2C34" w:rsidR="0E8A2C34">
              <w:rPr>
                <w:b w:val="1"/>
                <w:bCs w:val="1"/>
              </w:rPr>
              <w:t>Likely focus</w:t>
            </w:r>
          </w:p>
        </w:tc>
      </w:tr>
      <w:tr w:rsidR="0E8A2C34" w:rsidTr="0E8A2C34" w14:paraId="06F857FF">
        <w:tc>
          <w:tcPr>
            <w:tcW w:w="4680" w:type="dxa"/>
            <w:tcMar/>
          </w:tcPr>
          <w:p w:rsidR="0E8A2C34" w:rsidP="0E8A2C34" w:rsidRDefault="0E8A2C34" w14:paraId="7E038F27" w14:textId="60F74CA7">
            <w:pPr>
              <w:pStyle w:val="Normal"/>
            </w:pPr>
            <w:r w:rsidR="0E8A2C34">
              <w:rPr/>
              <w:t>Sustainability</w:t>
            </w:r>
          </w:p>
        </w:tc>
        <w:tc>
          <w:tcPr>
            <w:tcW w:w="4680" w:type="dxa"/>
            <w:tcMar/>
          </w:tcPr>
          <w:p w:rsidR="0E8A2C34" w:rsidP="0E8A2C34" w:rsidRDefault="0E8A2C34" w14:paraId="15653FB8" w14:textId="2606E85A">
            <w:pPr>
              <w:pStyle w:val="Normal"/>
            </w:pPr>
            <w:r w:rsidR="0E8A2C34">
              <w:rPr/>
              <w:t>Waste reduction, emissions implications and credible reporting.</w:t>
            </w:r>
          </w:p>
        </w:tc>
      </w:tr>
      <w:tr w:rsidR="0E8A2C34" w:rsidTr="0E8A2C34" w14:paraId="56C8D653">
        <w:tc>
          <w:tcPr>
            <w:tcW w:w="4680" w:type="dxa"/>
            <w:tcMar/>
          </w:tcPr>
          <w:p w:rsidR="0E8A2C34" w:rsidP="0E8A2C34" w:rsidRDefault="0E8A2C34" w14:paraId="68F71BC2" w14:textId="6840553A">
            <w:pPr>
              <w:pStyle w:val="Normal"/>
            </w:pPr>
            <w:r w:rsidR="0E8A2C34">
              <w:rPr/>
              <w:t>R</w:t>
            </w:r>
            <w:r w:rsidR="0E8A2C34">
              <w:rPr/>
              <w:t>&amp;</w:t>
            </w:r>
            <w:r w:rsidR="0E8A2C34">
              <w:rPr/>
              <w:t>D</w:t>
            </w:r>
          </w:p>
        </w:tc>
        <w:tc>
          <w:tcPr>
            <w:tcW w:w="4680" w:type="dxa"/>
            <w:tcMar/>
          </w:tcPr>
          <w:p w:rsidR="0E8A2C34" w:rsidP="0E8A2C34" w:rsidRDefault="0E8A2C34" w14:paraId="5E43E8EA" w14:textId="18DBC4A9">
            <w:pPr>
              <w:pStyle w:val="Normal"/>
            </w:pPr>
            <w:r w:rsidR="0E8A2C34">
              <w:rPr/>
              <w:t>Technical fit, application testing and formulation compatibility.</w:t>
            </w:r>
          </w:p>
        </w:tc>
      </w:tr>
      <w:tr w:rsidR="0E8A2C34" w:rsidTr="0E8A2C34" w14:paraId="2462B90A">
        <w:tc>
          <w:tcPr>
            <w:tcW w:w="4680" w:type="dxa"/>
            <w:tcMar/>
          </w:tcPr>
          <w:p w:rsidR="0E8A2C34" w:rsidP="0E8A2C34" w:rsidRDefault="0E8A2C34" w14:paraId="2F9C4C58" w14:textId="42403E9F">
            <w:pPr>
              <w:pStyle w:val="Normal"/>
            </w:pPr>
            <w:r w:rsidR="0E8A2C34">
              <w:rPr/>
              <w:t>Quality</w:t>
            </w:r>
          </w:p>
        </w:tc>
        <w:tc>
          <w:tcPr>
            <w:tcW w:w="4680" w:type="dxa"/>
            <w:tcMar/>
          </w:tcPr>
          <w:p w:rsidR="0E8A2C34" w:rsidP="0E8A2C34" w:rsidRDefault="0E8A2C34" w14:paraId="66A6C753" w14:textId="53123C6E">
            <w:pPr>
              <w:pStyle w:val="Normal"/>
            </w:pPr>
            <w:r w:rsidR="0E8A2C34">
              <w:rPr/>
              <w:t>Food safety, shelf-life validation and complaint monitoring.</w:t>
            </w:r>
          </w:p>
        </w:tc>
      </w:tr>
      <w:tr w:rsidR="0E8A2C34" w:rsidTr="0E8A2C34" w14:paraId="1FB5C651">
        <w:tc>
          <w:tcPr>
            <w:tcW w:w="4680" w:type="dxa"/>
            <w:tcMar/>
          </w:tcPr>
          <w:p w:rsidR="0E8A2C34" w:rsidP="0E8A2C34" w:rsidRDefault="0E8A2C34" w14:paraId="24B7A671" w14:textId="0CBA67F0">
            <w:pPr>
              <w:pStyle w:val="Normal"/>
            </w:pPr>
            <w:r w:rsidR="0E8A2C34">
              <w:rPr/>
              <w:t>Operations</w:t>
            </w:r>
          </w:p>
        </w:tc>
        <w:tc>
          <w:tcPr>
            <w:tcW w:w="4680" w:type="dxa"/>
            <w:tcMar/>
          </w:tcPr>
          <w:p w:rsidR="0E8A2C34" w:rsidP="0E8A2C34" w:rsidRDefault="0E8A2C34" w14:paraId="30DFB01E" w14:textId="2BFE30FD">
            <w:pPr>
              <w:pStyle w:val="Normal"/>
            </w:pPr>
            <w:r w:rsidR="0E8A2C34">
              <w:rPr/>
              <w:t>Process execution, training, store handling and supply chain consistency.</w:t>
            </w:r>
          </w:p>
        </w:tc>
      </w:tr>
      <w:tr w:rsidR="0E8A2C34" w:rsidTr="0E8A2C34" w14:paraId="44C40319">
        <w:tc>
          <w:tcPr>
            <w:tcW w:w="4680" w:type="dxa"/>
            <w:tcMar/>
          </w:tcPr>
          <w:p w:rsidR="0E8A2C34" w:rsidP="0E8A2C34" w:rsidRDefault="0E8A2C34" w14:paraId="2C2E8599" w14:textId="19D257E6">
            <w:pPr>
              <w:pStyle w:val="Normal"/>
            </w:pPr>
            <w:r w:rsidR="0E8A2C34">
              <w:rPr/>
              <w:t>Procurement</w:t>
            </w:r>
          </w:p>
        </w:tc>
        <w:tc>
          <w:tcPr>
            <w:tcW w:w="4680" w:type="dxa"/>
            <w:tcMar/>
          </w:tcPr>
          <w:p w:rsidR="0E8A2C34" w:rsidP="0E8A2C34" w:rsidRDefault="0E8A2C34" w14:paraId="3A22C8D0" w14:textId="15A16A1C">
            <w:pPr>
              <w:pStyle w:val="Normal"/>
            </w:pPr>
            <w:r w:rsidR="0E8A2C34">
              <w:rPr/>
              <w:t>Supplier readiness, cost and contract considerations.</w:t>
            </w:r>
          </w:p>
        </w:tc>
      </w:tr>
      <w:tr w:rsidR="0E8A2C34" w:rsidTr="0E8A2C34" w14:paraId="024F0C41">
        <w:tc>
          <w:tcPr>
            <w:tcW w:w="4680" w:type="dxa"/>
            <w:tcMar/>
          </w:tcPr>
          <w:p w:rsidR="0E8A2C34" w:rsidP="0E8A2C34" w:rsidRDefault="0E8A2C34" w14:paraId="13D49213" w14:textId="13DBA8AF">
            <w:pPr>
              <w:pStyle w:val="Normal"/>
            </w:pPr>
            <w:r w:rsidR="0E8A2C34">
              <w:rPr/>
              <w:t>Commercial</w:t>
            </w:r>
          </w:p>
        </w:tc>
        <w:tc>
          <w:tcPr>
            <w:tcW w:w="4680" w:type="dxa"/>
            <w:tcMar/>
          </w:tcPr>
          <w:p w:rsidR="0E8A2C34" w:rsidP="0E8A2C34" w:rsidRDefault="0E8A2C34" w14:paraId="79348781" w14:textId="1DE6FB18">
            <w:pPr>
              <w:pStyle w:val="Normal"/>
            </w:pPr>
            <w:r w:rsidR="0E8A2C34">
              <w:rPr/>
              <w:t>Retailer value proposition, returns reduction and economics.</w:t>
            </w:r>
          </w:p>
        </w:tc>
      </w:tr>
      <w:tr w:rsidR="0E8A2C34" w:rsidTr="0E8A2C34" w14:paraId="6F046BC3">
        <w:tc>
          <w:tcPr>
            <w:tcW w:w="4680" w:type="dxa"/>
            <w:tcMar/>
          </w:tcPr>
          <w:p w:rsidR="0E8A2C34" w:rsidP="0E8A2C34" w:rsidRDefault="0E8A2C34" w14:paraId="68300D2E" w14:textId="2E434219">
            <w:pPr>
              <w:pStyle w:val="Normal"/>
            </w:pPr>
            <w:r w:rsidR="0E8A2C34">
              <w:rPr/>
              <w:t>Legal</w:t>
            </w:r>
          </w:p>
        </w:tc>
        <w:tc>
          <w:tcPr>
            <w:tcW w:w="4680" w:type="dxa"/>
            <w:tcMar/>
          </w:tcPr>
          <w:p w:rsidR="0E8A2C34" w:rsidP="0E8A2C34" w:rsidRDefault="0E8A2C34" w14:paraId="2B3512D8" w14:textId="496FCC04">
            <w:pPr>
              <w:pStyle w:val="Normal"/>
            </w:pPr>
            <w:r w:rsidR="0E8A2C34">
              <w:rPr/>
              <w:t>Regulatory review, claims control and data-use restrictions.</w:t>
            </w:r>
          </w:p>
        </w:tc>
      </w:tr>
    </w:tbl>
    <w:p w:rsidR="0E8A2C34" w:rsidP="0E8A2C34" w:rsidRDefault="0E8A2C34" w14:paraId="2BEFFDEB" w14:textId="7ABF8795">
      <w:pPr>
        <w:pStyle w:val="Normal"/>
      </w:pPr>
    </w:p>
    <w:p w:rsidR="0E8A2C34" w:rsidP="0E8A2C34" w:rsidRDefault="0E8A2C34" w14:paraId="5401E06E" w14:textId="4A209C3F">
      <w:pPr>
        <w:pStyle w:val="Heading1"/>
      </w:pPr>
      <w:r w:rsidR="0E8A2C34">
        <w:rPr/>
        <w:t>8. Open Questions to Resolve</w:t>
      </w:r>
    </w:p>
    <w:p w:rsidR="0E8A2C34" w:rsidP="0E8A2C34" w:rsidRDefault="0E8A2C34" w14:paraId="6C917FE1" w14:textId="53B4F73F">
      <w:pPr>
        <w:pStyle w:val="ListParagraph"/>
        <w:numPr>
          <w:ilvl w:val="0"/>
          <w:numId w:val="3"/>
        </w:numPr>
        <w:rPr/>
      </w:pPr>
      <w:r w:rsidR="0E8A2C34">
        <w:rPr/>
        <w:t>How was the 18,400 tonnes per year baseline calculated, and who will audit or validate the method?</w:t>
      </w:r>
    </w:p>
    <w:p w:rsidR="0E8A2C34" w:rsidP="0E8A2C34" w:rsidRDefault="0E8A2C34" w14:paraId="23CC29AE" w14:textId="7F5BD007">
      <w:pPr>
        <w:pStyle w:val="ListParagraph"/>
        <w:numPr>
          <w:ilvl w:val="0"/>
          <w:numId w:val="3"/>
        </w:numPr>
        <w:rPr/>
      </w:pPr>
      <w:r w:rsidR="0E8A2C34">
        <w:rPr/>
        <w:t>What control-group design will be used to separate pilot impact from normal operational variation?</w:t>
      </w:r>
    </w:p>
    <w:p w:rsidR="0E8A2C34" w:rsidP="0E8A2C34" w:rsidRDefault="0E8A2C34" w14:paraId="02FA3DA0" w14:textId="77DE58BD">
      <w:pPr>
        <w:pStyle w:val="ListParagraph"/>
        <w:numPr>
          <w:ilvl w:val="0"/>
          <w:numId w:val="3"/>
        </w:numPr>
        <w:rPr/>
      </w:pPr>
      <w:r w:rsidR="0E8A2C34">
        <w:rPr/>
        <w:t>Which local approvals are required in Germany, Spain and India before testing can begin?</w:t>
      </w:r>
    </w:p>
    <w:p w:rsidR="0E8A2C34" w:rsidP="0E8A2C34" w:rsidRDefault="0E8A2C34" w14:paraId="247C2643" w14:textId="4BF8073B">
      <w:pPr>
        <w:pStyle w:val="ListParagraph"/>
        <w:numPr>
          <w:ilvl w:val="0"/>
          <w:numId w:val="3"/>
        </w:numPr>
        <w:rPr/>
      </w:pPr>
      <w:r w:rsidR="0E8A2C34">
        <w:rPr/>
        <w:t>Which product categories are compatible with the enzyme-based freshness approach?</w:t>
      </w:r>
    </w:p>
    <w:p w:rsidR="0E8A2C34" w:rsidP="0E8A2C34" w:rsidRDefault="0E8A2C34" w14:paraId="3E0279A7" w14:textId="50BEDB32">
      <w:pPr>
        <w:pStyle w:val="ListParagraph"/>
        <w:numPr>
          <w:ilvl w:val="0"/>
          <w:numId w:val="3"/>
        </w:numPr>
        <w:rPr/>
      </w:pPr>
      <w:r w:rsidR="0E8A2C34">
        <w:rPr/>
        <w:t>Who owns benefits tracking across sustainability, operations, finance and commercial teams?</w:t>
      </w:r>
    </w:p>
    <w:p w:rsidR="0E8A2C34" w:rsidP="0E8A2C34" w:rsidRDefault="0E8A2C34" w14:paraId="39B0165F" w14:textId="385237E6">
      <w:pPr>
        <w:pStyle w:val="Heading1"/>
      </w:pPr>
      <w:r w:rsidR="0E8A2C34">
        <w:rPr/>
        <w:t>9. Recommended Next Steps</w:t>
      </w:r>
    </w:p>
    <w:p w:rsidR="0E8A2C34" w:rsidP="0E8A2C34" w:rsidRDefault="0E8A2C34" w14:paraId="759C8F5E" w14:textId="5C83A801">
      <w:pPr>
        <w:pStyle w:val="ListParagraph"/>
        <w:numPr>
          <w:ilvl w:val="0"/>
          <w:numId w:val="4"/>
        </w:numPr>
        <w:rPr/>
      </w:pPr>
      <w:r w:rsidR="0E8A2C34">
        <w:rPr/>
        <w:t>Confirm baseline methodology and define pilot, control and comparison groups.</w:t>
      </w:r>
    </w:p>
    <w:p w:rsidR="0E8A2C34" w:rsidP="0E8A2C34" w:rsidRDefault="0E8A2C34" w14:paraId="18D80195" w14:textId="2BA967AF">
      <w:pPr>
        <w:pStyle w:val="ListParagraph"/>
        <w:numPr>
          <w:ilvl w:val="0"/>
          <w:numId w:val="4"/>
        </w:numPr>
        <w:rPr/>
      </w:pPr>
      <w:r w:rsidR="0E8A2C34">
        <w:rPr/>
        <w:t>Agree measurement definitions for waste, shelf life, returns, complaints, energy use and cost per sellable unit.</w:t>
      </w:r>
    </w:p>
    <w:p w:rsidR="0E8A2C34" w:rsidP="0E8A2C34" w:rsidRDefault="0E8A2C34" w14:paraId="5948B3CA" w14:textId="44D05A5B">
      <w:pPr>
        <w:pStyle w:val="ListParagraph"/>
        <w:numPr>
          <w:ilvl w:val="0"/>
          <w:numId w:val="4"/>
        </w:numPr>
        <w:rPr/>
      </w:pPr>
      <w:r w:rsidR="0E8A2C34">
        <w:rPr/>
        <w:t>Run technical compatibility and regulatory checks before making performance claims.</w:t>
      </w:r>
    </w:p>
    <w:p w:rsidR="0E8A2C34" w:rsidP="0E8A2C34" w:rsidRDefault="0E8A2C34" w14:paraId="16CC6E2C" w14:textId="0198156B">
      <w:pPr>
        <w:pStyle w:val="ListParagraph"/>
        <w:numPr>
          <w:ilvl w:val="0"/>
          <w:numId w:val="4"/>
        </w:numPr>
        <w:rPr/>
      </w:pPr>
      <w:r w:rsidR="0E8A2C34">
        <w:rPr/>
        <w:t>Develop stakeholder-specific communication packs for sustainability, R</w:t>
      </w:r>
      <w:r w:rsidR="0E8A2C34">
        <w:rPr/>
        <w:t>&amp;</w:t>
      </w:r>
      <w:r w:rsidR="0E8A2C34">
        <w:rPr/>
        <w:t>D, quality, operations, procurement, commercial and legal teams.</w:t>
      </w:r>
    </w:p>
    <w:p w:rsidR="0E8A2C34" w:rsidP="0E8A2C34" w:rsidRDefault="0E8A2C34" w14:paraId="54E9CCDB" w14:textId="1876F8A3">
      <w:pPr>
        <w:pStyle w:val="ListParagraph"/>
        <w:numPr>
          <w:ilvl w:val="0"/>
          <w:numId w:val="4"/>
        </w:numPr>
        <w:rPr/>
      </w:pPr>
      <w:r w:rsidR="0E8A2C34">
        <w:rPr/>
        <w:t>Prepare a 12-week pilot plan aligned to the EUR 450k ceiling and benefits-tracking ownership model.</w:t>
      </w:r>
    </w:p>
    <w:sectPr w:rsidR="005E4C24">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2E5C" w:rsidP="006C1815" w:rsidRDefault="00082E5C" w14:paraId="5D4D6ED2" w14:textId="77777777">
      <w:pPr>
        <w:spacing w:after="0" w:line="240" w:lineRule="auto"/>
      </w:pPr>
      <w:r>
        <w:separator/>
      </w:r>
    </w:p>
  </w:endnote>
  <w:endnote w:type="continuationSeparator" w:id="0">
    <w:p w:rsidR="00082E5C" w:rsidP="006C1815" w:rsidRDefault="00082E5C" w14:paraId="10807B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C1815" w:rsidRDefault="006C1815" w14:paraId="57DF7674" w14:textId="6AEB779D">
    <w:pPr>
      <w:pStyle w:val="Footer"/>
    </w:pPr>
    <w:r>
      <w:rPr>
        <w:noProof/>
      </w:rPr>
      <mc:AlternateContent>
        <mc:Choice Requires="wps">
          <w:drawing>
            <wp:anchor distT="0" distB="0" distL="0" distR="0" simplePos="0" relativeHeight="251659264" behindDoc="0" locked="0" layoutInCell="1" allowOverlap="1" wp14:anchorId="6658BCB1" wp14:editId="67B6F3A3">
              <wp:simplePos x="635" y="635"/>
              <wp:positionH relativeFrom="page">
                <wp:align>center</wp:align>
              </wp:positionH>
              <wp:positionV relativeFrom="page">
                <wp:align>bottom</wp:align>
              </wp:positionV>
              <wp:extent cx="876300" cy="333375"/>
              <wp:effectExtent l="0" t="0" r="0" b="0"/>
              <wp:wrapNone/>
              <wp:docPr id="1986089020" name="Text Box 2" descr="General - NIIT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6300" cy="333375"/>
                      </a:xfrm>
                      <a:prstGeom prst="rect">
                        <a:avLst/>
                      </a:prstGeom>
                      <a:noFill/>
                      <a:ln>
                        <a:noFill/>
                      </a:ln>
                    </wps:spPr>
                    <wps:txbx>
                      <w:txbxContent>
                        <w:p w:rsidRPr="006C1815" w:rsidR="006C1815" w:rsidP="006C1815" w:rsidRDefault="006C1815" w14:paraId="1C26E9AE" w14:textId="1BDF7C79">
                          <w:pPr>
                            <w:spacing w:after="0"/>
                            <w:rPr>
                              <w:rFonts w:ascii="Aptos" w:hAnsi="Aptos" w:eastAsia="Aptos" w:cs="Aptos"/>
                              <w:noProof/>
                              <w:color w:val="000000"/>
                              <w:sz w:val="16"/>
                              <w:szCs w:val="16"/>
                            </w:rPr>
                          </w:pPr>
                          <w:r w:rsidRPr="006C1815">
                            <w:rPr>
                              <w:rFonts w:ascii="Aptos" w:hAnsi="Aptos" w:eastAsia="Aptos" w:cs="Aptos"/>
                              <w:noProof/>
                              <w:color w:val="000000"/>
                              <w:sz w:val="16"/>
                              <w:szCs w:val="16"/>
                            </w:rPr>
                            <w:t>General - NIIT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658BCB1">
              <v:stroke joinstyle="miter"/>
              <v:path gradientshapeok="t" o:connecttype="rect"/>
            </v:shapetype>
            <v:shape id="Text Box 2" style="position:absolute;margin-left:0;margin-top:0;width:69pt;height:26.25pt;z-index:251659264;visibility:visible;mso-wrap-style:none;mso-wrap-distance-left:0;mso-wrap-distance-top:0;mso-wrap-distance-right:0;mso-wrap-distance-bottom:0;mso-position-horizontal:center;mso-position-horizontal-relative:page;mso-position-vertical:bottom;mso-position-vertical-relative:page;v-text-anchor:bottom" alt="General - NIIT Data"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">
              <v:fill o:detectmouseclick="t"/>
              <v:textbox style="mso-fit-shape-to-text:t" inset="0,0,0,15pt">
                <w:txbxContent>
                  <w:p w:rsidRPr="006C1815" w:rsidR="006C1815" w:rsidP="006C1815" w:rsidRDefault="006C1815" w14:paraId="1C26E9AE" w14:textId="1BDF7C79">
                    <w:pPr>
                      <w:spacing w:after="0"/>
                      <w:rPr>
                        <w:rFonts w:ascii="Aptos" w:hAnsi="Aptos" w:eastAsia="Aptos" w:cs="Aptos"/>
                        <w:noProof/>
                        <w:color w:val="000000"/>
                        <w:sz w:val="16"/>
                        <w:szCs w:val="16"/>
                      </w:rPr>
                    </w:pPr>
                    <w:r w:rsidRPr="006C1815">
                      <w:rPr>
                        <w:rFonts w:ascii="Aptos" w:hAnsi="Aptos" w:eastAsia="Aptos" w:cs="Aptos"/>
                        <w:noProof/>
                        <w:color w:val="000000"/>
                        <w:sz w:val="16"/>
                        <w:szCs w:val="16"/>
                      </w:rPr>
                      <w:t>General - NIIT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C1815" w:rsidRDefault="006C1815" w14:paraId="73762FE1" w14:textId="52820375">
    <w:pPr>
      <w:pStyle w:val="Footer"/>
    </w:pPr>
    <w:r>
      <w:rPr>
        <w:noProof/>
      </w:rPr>
      <mc:AlternateContent>
        <mc:Choice Requires="wps">
          <w:drawing>
            <wp:anchor distT="0" distB="0" distL="0" distR="0" simplePos="0" relativeHeight="251660288" behindDoc="0" locked="0" layoutInCell="1" allowOverlap="1" wp14:anchorId="60CB7C0A" wp14:editId="554FBDFF">
              <wp:simplePos x="635" y="635"/>
              <wp:positionH relativeFrom="page">
                <wp:align>center</wp:align>
              </wp:positionH>
              <wp:positionV relativeFrom="page">
                <wp:align>bottom</wp:align>
              </wp:positionV>
              <wp:extent cx="876300" cy="333375"/>
              <wp:effectExtent l="0" t="0" r="0" b="0"/>
              <wp:wrapNone/>
              <wp:docPr id="309057961" name="Text Box 3" descr="General - NIIT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6300" cy="333375"/>
                      </a:xfrm>
                      <a:prstGeom prst="rect">
                        <a:avLst/>
                      </a:prstGeom>
                      <a:noFill/>
                      <a:ln>
                        <a:noFill/>
                      </a:ln>
                    </wps:spPr>
                    <wps:txbx>
                      <w:txbxContent>
                        <w:p w:rsidRPr="006C1815" w:rsidR="006C1815" w:rsidP="006C1815" w:rsidRDefault="006C1815" w14:paraId="4B36A1B1" w14:textId="09E5F0B3">
                          <w:pPr>
                            <w:spacing w:after="0"/>
                            <w:rPr>
                              <w:rFonts w:ascii="Aptos" w:hAnsi="Aptos" w:eastAsia="Aptos" w:cs="Aptos"/>
                              <w:noProof/>
                              <w:color w:val="000000"/>
                              <w:sz w:val="16"/>
                              <w:szCs w:val="16"/>
                            </w:rPr>
                          </w:pPr>
                          <w:r w:rsidRPr="006C1815">
                            <w:rPr>
                              <w:rFonts w:ascii="Aptos" w:hAnsi="Aptos" w:eastAsia="Aptos" w:cs="Aptos"/>
                              <w:noProof/>
                              <w:color w:val="000000"/>
                              <w:sz w:val="16"/>
                              <w:szCs w:val="16"/>
                            </w:rPr>
                            <w:t>General - NIIT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0CB7C0A">
              <v:stroke joinstyle="miter"/>
              <v:path gradientshapeok="t" o:connecttype="rect"/>
            </v:shapetype>
            <v:shape id="Text Box 3" style="position:absolute;margin-left:0;margin-top:0;width:69pt;height:26.25pt;z-index:251660288;visibility:visible;mso-wrap-style:none;mso-wrap-distance-left:0;mso-wrap-distance-top:0;mso-wrap-distance-right:0;mso-wrap-distance-bottom:0;mso-position-horizontal:center;mso-position-horizontal-relative:page;mso-position-vertical:bottom;mso-position-vertical-relative:page;v-text-anchor:bottom" alt="General - NIIT Data"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">
              <v:fill o:detectmouseclick="t"/>
              <v:textbox style="mso-fit-shape-to-text:t" inset="0,0,0,15pt">
                <w:txbxContent>
                  <w:p w:rsidRPr="006C1815" w:rsidR="006C1815" w:rsidP="006C1815" w:rsidRDefault="006C1815" w14:paraId="4B36A1B1" w14:textId="09E5F0B3">
                    <w:pPr>
                      <w:spacing w:after="0"/>
                      <w:rPr>
                        <w:rFonts w:ascii="Aptos" w:hAnsi="Aptos" w:eastAsia="Aptos" w:cs="Aptos"/>
                        <w:noProof/>
                        <w:color w:val="000000"/>
                        <w:sz w:val="16"/>
                        <w:szCs w:val="16"/>
                      </w:rPr>
                    </w:pPr>
                    <w:r w:rsidRPr="006C1815">
                      <w:rPr>
                        <w:rFonts w:ascii="Aptos" w:hAnsi="Aptos" w:eastAsia="Aptos" w:cs="Aptos"/>
                        <w:noProof/>
                        <w:color w:val="000000"/>
                        <w:sz w:val="16"/>
                        <w:szCs w:val="16"/>
                      </w:rPr>
                      <w:t>General - NIIT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C1815" w:rsidRDefault="006C1815" w14:paraId="6D4D37B8" w14:textId="331F444D">
    <w:pPr>
      <w:pStyle w:val="Footer"/>
    </w:pPr>
    <w:r>
      <w:rPr>
        <w:noProof/>
      </w:rPr>
      <mc:AlternateContent>
        <mc:Choice Requires="wps">
          <w:drawing>
            <wp:anchor distT="0" distB="0" distL="0" distR="0" simplePos="0" relativeHeight="251658240" behindDoc="0" locked="0" layoutInCell="1" allowOverlap="1" wp14:anchorId="518C0813" wp14:editId="5907DE37">
              <wp:simplePos x="635" y="635"/>
              <wp:positionH relativeFrom="page">
                <wp:align>center</wp:align>
              </wp:positionH>
              <wp:positionV relativeFrom="page">
                <wp:align>bottom</wp:align>
              </wp:positionV>
              <wp:extent cx="876300" cy="333375"/>
              <wp:effectExtent l="0" t="0" r="0" b="0"/>
              <wp:wrapNone/>
              <wp:docPr id="1152665911" name="Text Box 1" descr="General - NIIT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6300" cy="333375"/>
                      </a:xfrm>
                      <a:prstGeom prst="rect">
                        <a:avLst/>
                      </a:prstGeom>
                      <a:noFill/>
                      <a:ln>
                        <a:noFill/>
                      </a:ln>
                    </wps:spPr>
                    <wps:txbx>
                      <w:txbxContent>
                        <w:p w:rsidRPr="006C1815" w:rsidR="006C1815" w:rsidP="006C1815" w:rsidRDefault="006C1815" w14:paraId="0C5A6816" w14:textId="0357C406">
                          <w:pPr>
                            <w:spacing w:after="0"/>
                            <w:rPr>
                              <w:rFonts w:ascii="Aptos" w:hAnsi="Aptos" w:eastAsia="Aptos" w:cs="Aptos"/>
                              <w:noProof/>
                              <w:color w:val="000000"/>
                              <w:sz w:val="16"/>
                              <w:szCs w:val="16"/>
                            </w:rPr>
                          </w:pPr>
                          <w:r w:rsidRPr="006C1815">
                            <w:rPr>
                              <w:rFonts w:ascii="Aptos" w:hAnsi="Aptos" w:eastAsia="Aptos" w:cs="Aptos"/>
                              <w:noProof/>
                              <w:color w:val="000000"/>
                              <w:sz w:val="16"/>
                              <w:szCs w:val="16"/>
                            </w:rPr>
                            <w:t>General - NIIT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18C0813">
              <v:stroke joinstyle="miter"/>
              <v:path gradientshapeok="t" o:connecttype="rect"/>
            </v:shapetype>
            <v:shape id="Text Box 1" style="position:absolute;margin-left:0;margin-top:0;width:69pt;height:26.25pt;z-index:251658240;visibility:visible;mso-wrap-style:none;mso-wrap-distance-left:0;mso-wrap-distance-top:0;mso-wrap-distance-right:0;mso-wrap-distance-bottom:0;mso-position-horizontal:center;mso-position-horizontal-relative:page;mso-position-vertical:bottom;mso-position-vertical-relative:page;v-text-anchor:bottom" alt="General - NIIT Data"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">
              <v:fill o:detectmouseclick="t"/>
              <v:textbox style="mso-fit-shape-to-text:t" inset="0,0,0,15pt">
                <w:txbxContent>
                  <w:p w:rsidRPr="006C1815" w:rsidR="006C1815" w:rsidP="006C1815" w:rsidRDefault="006C1815" w14:paraId="0C5A6816" w14:textId="0357C406">
                    <w:pPr>
                      <w:spacing w:after="0"/>
                      <w:rPr>
                        <w:rFonts w:ascii="Aptos" w:hAnsi="Aptos" w:eastAsia="Aptos" w:cs="Aptos"/>
                        <w:noProof/>
                        <w:color w:val="000000"/>
                        <w:sz w:val="16"/>
                        <w:szCs w:val="16"/>
                      </w:rPr>
                    </w:pPr>
                    <w:r w:rsidRPr="006C1815">
                      <w:rPr>
                        <w:rFonts w:ascii="Aptos" w:hAnsi="Aptos" w:eastAsia="Aptos" w:cs="Aptos"/>
                        <w:noProof/>
                        <w:color w:val="000000"/>
                        <w:sz w:val="16"/>
                        <w:szCs w:val="16"/>
                      </w:rPr>
                      <w:t>General - NIIT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2E5C" w:rsidP="006C1815" w:rsidRDefault="00082E5C" w14:paraId="38CF0D72" w14:textId="77777777">
      <w:pPr>
        <w:spacing w:after="0" w:line="240" w:lineRule="auto"/>
      </w:pPr>
      <w:r>
        <w:separator/>
      </w:r>
    </w:p>
  </w:footnote>
  <w:footnote w:type="continuationSeparator" w:id="0">
    <w:p w:rsidR="00082E5C" w:rsidP="006C1815" w:rsidRDefault="00082E5C" w14:paraId="0D2AFEDD"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4">
    <w:nsid w:val="758e9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e81a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2">
    <w:nsid w:val="a11f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54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1749F2"/>
    <w:rsid w:val="00082E5C"/>
    <w:rsid w:val="005E4C24"/>
    <w:rsid w:val="006C1815"/>
    <w:rsid w:val="00A7571F"/>
    <w:rsid w:val="0E8A2C34"/>
    <w:rsid w:val="1D1749F2"/>
    <w:rsid w:val="36761240"/>
    <w:rsid w:val="66F61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89E6"/>
  <w15:chartTrackingRefBased/>
  <w15:docId w15:val="{345FC84A-AB43-417E-8489-27E38319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6C1815"/>
    <w:pPr>
      <w:tabs>
        <w:tab w:val="center" w:pos="4680"/>
        <w:tab w:val="right" w:pos="9360"/>
      </w:tabs>
      <w:spacing w:after="0" w:line="240" w:lineRule="auto"/>
    </w:pPr>
  </w:style>
  <w:style w:type="character" w:styleId="FooterChar" w:customStyle="1">
    <w:name w:val="Footer Char"/>
    <w:basedOn w:val="DefaultParagraphFont"/>
    <w:link w:val="Footer"/>
    <w:uiPriority w:val="99"/>
    <w:rsid w:val="006C1815"/>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48ab196ace2441a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Neha Narula</dc:creator>
  <keywords/>
  <dc:description/>
  <lastModifiedBy>Neha Narula</lastModifiedBy>
  <revision>2</revision>
  <dcterms:created xsi:type="dcterms:W3CDTF">2026-10-12T17:45:00.0000000Z</dcterms:created>
  <dcterms:modified xsi:type="dcterms:W3CDTF">2026-10-12T17:48:33.2688867Z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44b44937,7661503c,126bd9a9</vt:lpwstr>
  </property>
  <property fmtid="{D5CDD505-2E9C-101B-9397-08002B2CF9AE}" pid="3" name="ClassificationContentMarkingFooterFontProps">
    <vt:lpwstr>#000000,8,Aptos</vt:lpwstr>
  </property>
  <property fmtid="{D5CDD505-2E9C-101B-9397-08002B2CF9AE}" pid="4" name="ClassificationContentMarkingFooterText">
    <vt:lpwstr>General - NIIT Data</vt:lpwstr>
  </property>
  <property fmtid="{D5CDD505-2E9C-101B-9397-08002B2CF9AE}" pid="5" name="MSIP_Label_e80f486e-1d0b-4fd6-a73f-04d94048a140_Enabled">
    <vt:lpwstr>true</vt:lpwstr>
  </property>
  <property fmtid="{D5CDD505-2E9C-101B-9397-08002B2CF9AE}" pid="6" name="MSIP_Label_e80f486e-1d0b-4fd6-a73f-04d94048a140_SetDate">
    <vt:lpwstr>2026-10-12T17:45:33Z</vt:lpwstr>
  </property>
  <property fmtid="{D5CDD505-2E9C-101B-9397-08002B2CF9AE}" pid="7" name="MSIP_Label_e80f486e-1d0b-4fd6-a73f-04d94048a140_Method">
    <vt:lpwstr>Standard</vt:lpwstr>
  </property>
  <property fmtid="{D5CDD505-2E9C-101B-9397-08002B2CF9AE}" pid="8" name="MSIP_Label_e80f486e-1d0b-4fd6-a73f-04d94048a140_Name">
    <vt:lpwstr>General - RPS Data</vt:lpwstr>
  </property>
  <property fmtid="{D5CDD505-2E9C-101B-9397-08002B2CF9AE}" pid="9" name="MSIP_Label_e80f486e-1d0b-4fd6-a73f-04d94048a140_SiteId">
    <vt:lpwstr>6565c732-1653-4ffe-b9d3-80a4f1c0c25d</vt:lpwstr>
  </property>
  <property fmtid="{D5CDD505-2E9C-101B-9397-08002B2CF9AE}" pid="10" name="MSIP_Label_e80f486e-1d0b-4fd6-a73f-04d94048a140_ActionId">
    <vt:lpwstr>3080bfe5-c997-470f-bd36-7963546622f2</vt:lpwstr>
  </property>
  <property fmtid="{D5CDD505-2E9C-101B-9397-08002B2CF9AE}" pid="11" name="MSIP_Label_e80f486e-1d0b-4fd6-a73f-04d94048a140_ContentBits">
    <vt:lpwstr>2</vt:lpwstr>
  </property>
  <property fmtid="{D5CDD505-2E9C-101B-9397-08002B2CF9AE}" pid="12" name="MSIP_Label_e80f486e-1d0b-4fd6-a73f-04d94048a140_Tag">
    <vt:lpwstr>10, 3, 0, 2</vt:lpwstr>
  </property>
</Properties>
</file>