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ABC Manufacturing – Client Email Thread</w:t>
      </w:r>
    </w:p>
    <w:p>
      <w:pPr>
        <w:pStyle w:val="Heading1"/>
      </w:pPr>
      <w:r>
        <w:t>Email Thread</w:t>
      </w:r>
    </w:p>
    <w:p>
      <w:pPr>
        <w:pStyle w:val="ListBullet"/>
      </w:pPr>
      <w:r>
        <w:t>Mon 09:10 – Client Sponsor: Confirm whether ERP testing milestone remains achievable; steering pack is due Thursday.</w:t>
      </w:r>
    </w:p>
    <w:p>
      <w:pPr>
        <w:pStyle w:val="ListBullet"/>
      </w:pPr>
      <w:r>
        <w:t>Mon 10:05 – Engagement Lead: High-severity defect assessment is underway; triage expected Friday.</w:t>
      </w:r>
    </w:p>
    <w:p>
      <w:pPr>
        <w:pStyle w:val="ListBullet"/>
      </w:pPr>
      <w:r>
        <w:t>Mon 11:20 – Client Sponsor: Include budget impact if additional technical resources are required.</w:t>
      </w:r>
    </w:p>
    <w:p>
      <w:pPr>
        <w:pStyle w:val="ListBullet"/>
      </w:pPr>
      <w:r>
        <w:t>Mon 14:05 – Procurement Lead: Supplier master data remains inconsistent across two business units.</w:t>
      </w:r>
    </w:p>
    <w:p>
      <w:pPr>
        <w:pStyle w:val="ListBullet"/>
      </w:pPr>
      <w:r>
        <w:t>Tue 09:15 – Client Sponsor: Identify business owners for affected data domains.</w:t>
      </w:r>
    </w:p>
    <w:p>
      <w:pPr>
        <w:pStyle w:val="ListBullet"/>
      </w:pPr>
      <w:r>
        <w:t>Tue 10:00 – Engagement Lead: Work with Procurement and IT on an ownership model.</w:t>
      </w:r>
    </w:p>
    <w:p>
      <w:pPr>
        <w:pStyle w:val="ListBullet"/>
      </w:pPr>
      <w:r>
        <w:t>Tue 16:30 – Client Sponsor: Provide a short plant-productivity diagnostic before the next steering committee.</w:t>
      </w:r>
    </w:p>
    <w:p>
      <w:pPr>
        <w:pStyle w:val="ListBullet"/>
      </w:pPr>
      <w:r>
        <w:t>Wed 09:00 – Engagement Lead: Diagnostic scope will include timeline and resource requirements.</w:t>
      </w:r>
    </w:p>
    <w:p>
      <w:pPr>
        <w:pStyle w:val="ListBullet"/>
      </w:pPr>
      <w:r>
        <w:t>Wed 15:10 – Client Sponsor: Send a concise summary of decisions and actions from the last steering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