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766E"/>
          <w:sz w:val="48"/>
        </w:rPr>
        <w:t>SwasthyaSetu (स्वास्थ्य सेतु)</w:t>
      </w:r>
    </w:p>
    <w:p>
      <w:pPr>
        <w:jc w:val="center"/>
      </w:pPr>
      <w:r>
        <w:rPr>
          <w:rFonts w:ascii="Arial" w:hAnsi="Arial"/>
          <w:b/>
          <w:color w:val="1E3A8A"/>
          <w:sz w:val="32"/>
        </w:rPr>
        <w:t>Pitching &amp; Technical Master Playbook</w:t>
        <w:br/>
      </w:r>
    </w:p>
    <w:p>
      <w:pPr>
        <w:jc w:val="center"/>
      </w:pPr>
      <w:r>
        <w:rPr>
          <w:i/>
          <w:color w:val="64748B"/>
          <w:sz w:val="19"/>
        </w:rPr>
        <w:t>Role: Full-Stack Presenter (Frontend + Backend + Live Demo)</w:t>
        <w:br/>
        <w:t>Target Presentation Length: 7 to 9 Minutes</w:t>
        <w:br/>
        <w:t>Tech Stack: Next.js 15 (React 19) + FastAPI (Python 3.14) + PostgreSQL 18 + Dexie IndexedDB + Gemini AI</w:t>
      </w:r>
    </w:p>
    <w:p>
      <w:pPr>
        <w:spacing w:after="240"/>
      </w:pPr>
    </w:p>
    <w:p>
      <w:pPr>
        <w:pStyle w:val="Heading1"/>
        <w:spacing w:before="280" w:after="120"/>
      </w:pPr>
      <w:r>
        <w:rPr>
          <w:rFonts w:ascii="Arial" w:hAnsi="Arial"/>
          <w:b/>
          <w:color w:val="0F766E"/>
          <w:sz w:val="32"/>
        </w:rPr>
        <w:t>1. Word-for-Word Presentation Script (7–9 Min Timed Transcript)</w:t>
      </w:r>
    </w:p>
    <w:p>
      <w:pPr>
        <w:pStyle w:val="Heading2"/>
        <w:spacing w:before="280" w:after="120"/>
      </w:pPr>
      <w:r>
        <w:rPr>
          <w:rFonts w:ascii="Arial" w:hAnsi="Arial"/>
          <w:b/>
          <w:color w:val="1E3A8A"/>
          <w:sz w:val="26"/>
        </w:rPr>
        <w:t>Part 1: Hook, Problem Statement &amp; Solution Intro (0:00 – 1:00)</w:t>
      </w:r>
    </w:p>
    <w:p>
      <w:r>
        <w:rPr>
          <w:i/>
          <w:color w:val="64748B"/>
        </w:rPr>
        <w:t>[Visual Cue: Display Landing Page on screen at http://localhost:3000]</w:t>
      </w:r>
    </w:p>
    <w:p>
      <w:pPr>
        <w:ind w:left="288"/>
      </w:pPr>
      <w:r>
        <w:t>"Good morning/afternoon, esteemed judges and audience. My name is [Your Name], and today I am proud to present SwasthyaSetu — health bridge — an offline-first, full-stack digital public health delivery platform engineered for rural healthcare ecosystems in India.</w:t>
        <w:br/>
        <w:br/>
        <w:t>In rural healthcare across Sub-Centres and Primary Health Centres, millions of patients face critical bottlenecks: delayed emergency hospital referrals, unmonitored high-risk pregnancies, language barriers, and above all — erratic or zero internet connectivity.</w:t>
        <w:br/>
        <w:br/>
        <w:t>SwasthyaSetu bridges these gaps by unifying Patients, ASHA Health Workers, Doctors, and Healthcare Facilities into a single, multi-role ecosystem that functions seamlessly both online and offline."</w:t>
      </w:r>
    </w:p>
    <w:p>
      <w:pPr>
        <w:pStyle w:val="Heading2"/>
        <w:spacing w:before="280" w:after="120"/>
      </w:pPr>
      <w:r>
        <w:rPr>
          <w:rFonts w:ascii="Arial" w:hAnsi="Arial"/>
          <w:b/>
          <w:color w:val="1E3A8A"/>
          <w:sz w:val="26"/>
        </w:rPr>
        <w:t>Part 2: Full-Stack System Architecture Overview (1:00 – 2:00)</w:t>
      </w:r>
    </w:p>
    <w:p>
      <w:r>
        <w:rPr>
          <w:i/>
          <w:color w:val="64748B"/>
        </w:rPr>
        <w:t>[Visual Cue: Show System Architecture Diagram or point to technical feature badges]</w:t>
      </w:r>
    </w:p>
    <w:p>
      <w:pPr>
        <w:ind w:left="288"/>
      </w:pPr>
      <w:r>
        <w:t>"Before jumping into our live demonstration, let me briefly highlight our full-stack engineering blueprint:</w:t>
        <w:br/>
        <w:br/>
        <w:t>• On the Frontend: We built a high-performance Next.js 15 App Router application using React 19, TypeScript, and Tailwind CSS. We integrated Dexie.js (IndexedDB) directly in the browser to maintain an offline mutation outbox and local health document storage.</w:t>
        <w:br/>
        <w:t>• On the Backend: We engineered an asynchronous FastAPI service in Python 3.14 powered by Async SQLAlchemy 2.0 and PostgreSQL 18, protected by a 4-tier JWT Role-Based Access Control (RBAC) security system.</w:t>
        <w:br/>
        <w:t>• AI Intelligence Layer: We integrated the Google Gemini AI API for multi-lingual voice symptom analysis.</w:t>
        <w:br/>
        <w:t>• Core Differentiator: Our custom Offline Outbox &amp; Versioned Sync Engine, which captures field updates locally in remote villages and synchronizes them with zero data loss once connectivity is restored."</w:t>
      </w:r>
    </w:p>
    <w:p>
      <w:pPr>
        <w:pStyle w:val="Heading2"/>
        <w:spacing w:before="280" w:after="120"/>
      </w:pPr>
      <w:r>
        <w:rPr>
          <w:rFonts w:ascii="Arial" w:hAnsi="Arial"/>
          <w:b/>
          <w:color w:val="1E3A8A"/>
          <w:sz w:val="26"/>
        </w:rPr>
        <w:t>Part 3: Live App Demo Walkthrough (2:00 – 5:30)</w:t>
      </w:r>
    </w:p>
    <w:p>
      <w:pPr>
        <w:pStyle w:val="Heading3"/>
        <w:spacing w:before="280" w:after="120"/>
      </w:pPr>
      <w:r>
        <w:rPr>
          <w:rFonts w:ascii="Arial" w:hAnsi="Arial"/>
          <w:b/>
          <w:color w:val="1E293B"/>
          <w:sz w:val="22"/>
        </w:rPr>
        <w:t>Demo Stage A: Patient Experience &amp; Voice AI Assistant (2:00 – 2:45)</w:t>
      </w:r>
    </w:p>
    <w:p>
      <w:pPr>
        <w:ind w:left="288"/>
      </w:pPr>
      <w:r>
        <w:t>[Action: Click 'Tell Us Your Problem' or navigate to /patient/voice-assistant]</w:t>
        <w:br/>
        <w:t>"Let me begin with the Patient experience. To overcome literacy and language barriers in rural areas, patients can toggle between languages — such as Hindi or English — and speak or type their health symptoms."</w:t>
        <w:br/>
        <w:br/>
        <w:t>[Action: Demonstrate Voice Assistant interface &amp; Health Documents at /patient/documents]</w:t>
        <w:br/>
        <w:t>"When submitted, our backend pipeline invokes Google Gemini AI to analyze colloquial terms and output structured clinical triage summaries. Patients can also preview, download, or delete their health records locally using IndexedDB without server round-trips."</w:t>
      </w:r>
    </w:p>
    <w:p>
      <w:pPr>
        <w:pStyle w:val="Heading3"/>
        <w:spacing w:before="280" w:after="120"/>
      </w:pPr>
      <w:r>
        <w:rPr>
          <w:rFonts w:ascii="Arial" w:hAnsi="Arial"/>
          <w:b/>
          <w:color w:val="1E293B"/>
          <w:sz w:val="22"/>
        </w:rPr>
        <w:t>Demo Stage B: Health Worker High-Risk Maternal Dashboard (2:45 – 3:30)</w:t>
      </w:r>
    </w:p>
    <w:p>
      <w:pPr>
        <w:ind w:left="288"/>
      </w:pPr>
      <w:r>
        <w:t>[Action: Switch view to Health Worker High-Risk Dashboard at /hw/high-risk]</w:t>
        <w:br/>
        <w:t>"Next, let's transition to the Health Worker view — the ASHA or ANM in the field. Monitoring high-risk maternal patients is critical.</w:t>
        <w:br/>
        <w:br/>
        <w:t>Look at our summary KPI metrics: Total High Risk, High BP (≥140/90), Severe Anemia (&lt;10 g/dL), and Delayed Hospital Care. Vital readings like BP 145/92 automatically trigger red risk badges and automated Care Gap alerts. Emergency hotlines for 108 Ambulance and 102 Janani Express are built directly into the header for one-click emergency escalation."</w:t>
      </w:r>
    </w:p>
    <w:p>
      <w:pPr>
        <w:pStyle w:val="Heading3"/>
        <w:spacing w:before="280" w:after="120"/>
      </w:pPr>
      <w:r>
        <w:rPr>
          <w:rFonts w:ascii="Arial" w:hAnsi="Arial"/>
          <w:b/>
          <w:color w:val="1E293B"/>
          <w:sz w:val="22"/>
        </w:rPr>
        <w:t>Demo Stage C: Offline-First Operation &amp; Outbox Sync Engine (3:30 – 4:30)</w:t>
      </w:r>
    </w:p>
    <w:p>
      <w:pPr>
        <w:ind w:left="288"/>
      </w:pPr>
      <w:r>
        <w:t>[Action: Point to the Offline Pill / Local Care Mode Banner]</w:t>
        <w:br/>
        <w:t>"Now, here is our key technical differentiator: What happens when an ASHA worker enters a village with zero network connectivity?</w:t>
        <w:br/>
        <w:br/>
        <w:t>Even when completely disconnected, the health worker can complete screening forms or issue hospital referrals. Instead of crashing or displaying network error screens, the mutation is saved in IndexedDB (db.outbox). Once the worker re-enters network coverage, our sync adapter pushes queued payloads to /api/v1/sync/push, resolving database version counters with 100% data integrity."</w:t>
      </w:r>
    </w:p>
    <w:p>
      <w:pPr>
        <w:pStyle w:val="Heading3"/>
        <w:spacing w:before="280" w:after="120"/>
      </w:pPr>
      <w:r>
        <w:rPr>
          <w:rFonts w:ascii="Arial" w:hAnsi="Arial"/>
          <w:b/>
          <w:color w:val="1E293B"/>
          <w:sz w:val="22"/>
        </w:rPr>
        <w:t>Demo Stage D: Doctor Queue &amp; Hospital Facility Management (4:30 – 5:30)</w:t>
      </w:r>
    </w:p>
    <w:p>
      <w:pPr>
        <w:ind w:left="288"/>
      </w:pPr>
      <w:r>
        <w:t>[Action: Navigate to Doctor Dashboard at /doctor/dashboard and Facility View at /facility/dashboard]</w:t>
        <w:br/>
        <w:t>"Finally, at the hospital facility level: Doctors receive incoming referral queues, inspect historical vitals, and issue digital prescriptions.</w:t>
        <w:br/>
        <w:br/>
        <w:t>Simultaneously, Facility Admins track medicine inventory and lab diagnostic results in real time, closing the complete continuum of care."</w:t>
      </w:r>
    </w:p>
    <w:p>
      <w:pPr>
        <w:pStyle w:val="Heading2"/>
        <w:spacing w:before="280" w:after="120"/>
      </w:pPr>
      <w:r>
        <w:rPr>
          <w:rFonts w:ascii="Arial" w:hAnsi="Arial"/>
          <w:b/>
          <w:color w:val="1E3A8A"/>
          <w:sz w:val="26"/>
        </w:rPr>
        <w:t>Part 4: Frontend &amp; Backend Technical Deep-Dive (5:30 – 7:30)</w:t>
      </w:r>
    </w:p>
    <w:p>
      <w:pPr>
        <w:ind w:left="288"/>
      </w:pPr>
      <w:r>
        <w:t>"From a frontend engineering perspective:</w:t>
        <w:br/>
        <w:t>1. Next.js 15 App Router &amp; React 19: Server and client component boundaries ensure instant page load speeds.</w:t>
        <w:br/>
        <w:t>2. IndexedDB Local Storage via Dexie: Manages client-side database stores (outbox and documents), rendering client-side blob previews for lab images and PDFs without server overhead.</w:t>
        <w:br/>
        <w:t>3. Role-Aware Dynamic Navigation: Navigation header automatically renders dynamic shortcuts based on the authenticated JWT role.</w:t>
        <w:br/>
        <w:br/>
        <w:t>From a backend engineering perspective:</w:t>
        <w:br/>
        <w:t>1. Async FastAPI &amp; Python 3.14: Asynchronous non-blocking I/O powered by asyncio and asyncpg handles high concurrent request load.</w:t>
        <w:br/>
        <w:t>2. 4-Tier JWT RBAC Security: Secured via custom FastAPI dependencies (deps.py), enforcing strict permissions across Patients, Health Workers, Doctors, and Facility Admins.</w:t>
        <w:br/>
        <w:t>3. PostgreSQL 18 &amp; Alembic: Relational schema backed by automated Alembic migrations and a 51/51 passing test suite."</w:t>
      </w:r>
    </w:p>
    <w:p>
      <w:pPr>
        <w:pStyle w:val="Heading2"/>
        <w:spacing w:before="280" w:after="120"/>
      </w:pPr>
      <w:r>
        <w:rPr>
          <w:rFonts w:ascii="Arial" w:hAnsi="Arial"/>
          <w:b/>
          <w:color w:val="1E3A8A"/>
          <w:sz w:val="26"/>
        </w:rPr>
        <w:t>Part 5: Conclusion &amp; Transition to Q&amp;A (7:30 – 8:00)</w:t>
      </w:r>
    </w:p>
    <w:p>
      <w:pPr>
        <w:ind w:left="288"/>
      </w:pPr>
      <w:r>
        <w:t>"In conclusion: SwasthyaSetu is a production-ready, full-stack architecture that bridges rural public health gaps with offline resilience, AI voice assistance, and end-to-end referral tracking.</w:t>
        <w:br/>
        <w:br/>
        <w:t>Thank you, and I am now open to take your questions regarding our frontend, backend, or database architecture."</w:t>
      </w:r>
    </w:p>
    <w:p>
      <w:pPr>
        <w:pStyle w:val="Heading1"/>
        <w:spacing w:before="280" w:after="120"/>
      </w:pPr>
      <w:r>
        <w:rPr>
          <w:rFonts w:ascii="Arial" w:hAnsi="Arial"/>
          <w:b/>
          <w:color w:val="0F766E"/>
          <w:sz w:val="32"/>
        </w:rPr>
        <w:t>2. Step-by-Step Live Demo Action Protocol</w:t>
      </w:r>
    </w:p>
    <w:tbl>
      <w:tblPr>
        <w:tblW w:type="auto" w:w="0"/>
        <w:jc w:val="center"/>
        <w:tblLook w:firstColumn="1" w:firstRow="1" w:lastColumn="0" w:lastRow="0" w:noHBand="0" w:noVBand="1" w:val="04A0"/>
      </w:tblPr>
      <w:tblGrid>
        <w:gridCol w:w="2484"/>
        <w:gridCol w:w="2484"/>
        <w:gridCol w:w="2484"/>
        <w:gridCol w:w="2484"/>
      </w:tblGrid>
      <w:tr>
        <w:tc>
          <w:tcPr>
            <w:tcW w:type="dxa" w:w="2484"/>
            <w:shd w:fill="0f766e"/>
          </w:tcPr>
          <w:p>
            <w:r>
              <w:rPr>
                <w:b/>
                <w:color w:val="FFFFFF"/>
                <w:sz w:val="19"/>
              </w:rPr>
              <w:t>Demo Stage</w:t>
            </w:r>
          </w:p>
        </w:tc>
        <w:tc>
          <w:tcPr>
            <w:tcW w:type="dxa" w:w="2484"/>
            <w:shd w:fill="0f766e"/>
          </w:tcPr>
          <w:p>
            <w:r>
              <w:rPr>
                <w:b/>
                <w:color w:val="FFFFFF"/>
                <w:sz w:val="19"/>
              </w:rPr>
              <w:t>URL Route</w:t>
            </w:r>
          </w:p>
        </w:tc>
        <w:tc>
          <w:tcPr>
            <w:tcW w:type="dxa" w:w="2484"/>
            <w:shd w:fill="0f766e"/>
          </w:tcPr>
          <w:p>
            <w:r>
              <w:rPr>
                <w:b/>
                <w:color w:val="FFFFFF"/>
                <w:sz w:val="19"/>
              </w:rPr>
              <w:t>Key On-Screen Actions</w:t>
            </w:r>
          </w:p>
        </w:tc>
        <w:tc>
          <w:tcPr>
            <w:tcW w:type="dxa" w:w="2484"/>
            <w:shd w:fill="0f766e"/>
          </w:tcPr>
          <w:p>
            <w:r>
              <w:rPr>
                <w:b/>
                <w:color w:val="FFFFFF"/>
                <w:sz w:val="19"/>
              </w:rPr>
              <w:t>What to Emphasize</w:t>
            </w:r>
          </w:p>
        </w:tc>
      </w:tr>
      <w:tr>
        <w:tc>
          <w:tcPr>
            <w:tcW w:type="dxa" w:w="2484"/>
          </w:tcPr>
          <w:p>
            <w:r>
              <w:rPr>
                <w:sz w:val="18"/>
              </w:rPr>
              <w:t>1. Landing Page</w:t>
            </w:r>
          </w:p>
        </w:tc>
        <w:tc>
          <w:tcPr>
            <w:tcW w:type="dxa" w:w="2484"/>
          </w:tcPr>
          <w:p>
            <w:r>
              <w:rPr>
                <w:sz w:val="18"/>
              </w:rPr>
              <w:t>/</w:t>
            </w:r>
          </w:p>
        </w:tc>
        <w:tc>
          <w:tcPr>
            <w:tcW w:type="dxa" w:w="2484"/>
          </w:tcPr>
          <w:p>
            <w:r>
              <w:rPr>
                <w:sz w:val="18"/>
              </w:rPr>
              <w:t>Open homepage, toggle Language switch (Hindi/English), scroll to #care-journey.</w:t>
            </w:r>
          </w:p>
        </w:tc>
        <w:tc>
          <w:tcPr>
            <w:tcW w:type="dxa" w:w="2484"/>
          </w:tcPr>
          <w:p>
            <w:r>
              <w:rPr>
                <w:sz w:val="18"/>
              </w:rPr>
              <w:t>Multilingual support, accessibility, and universal design.</w:t>
            </w:r>
          </w:p>
        </w:tc>
      </w:tr>
      <w:tr>
        <w:tc>
          <w:tcPr>
            <w:tcW w:type="dxa" w:w="2484"/>
          </w:tcPr>
          <w:p>
            <w:r>
              <w:rPr>
                <w:sz w:val="18"/>
              </w:rPr>
              <w:t>2. Voice AI Assistant</w:t>
            </w:r>
          </w:p>
        </w:tc>
        <w:tc>
          <w:tcPr>
            <w:tcW w:type="dxa" w:w="2484"/>
          </w:tcPr>
          <w:p>
            <w:r>
              <w:rPr>
                <w:sz w:val="18"/>
              </w:rPr>
              <w:t>/patient/voice-assistant</w:t>
            </w:r>
          </w:p>
        </w:tc>
        <w:tc>
          <w:tcPr>
            <w:tcW w:type="dxa" w:w="2484"/>
          </w:tcPr>
          <w:p>
            <w:r>
              <w:rPr>
                <w:sz w:val="18"/>
              </w:rPr>
              <w:t>Type/speak symptoms (e.g. 'severe headache, blurred vision, 7 months pregnant').</w:t>
            </w:r>
          </w:p>
        </w:tc>
        <w:tc>
          <w:tcPr>
            <w:tcW w:type="dxa" w:w="2484"/>
          </w:tcPr>
          <w:p>
            <w:r>
              <w:rPr>
                <w:sz w:val="18"/>
              </w:rPr>
              <w:t>Google Gemini AI integration and structured clinical triage output.</w:t>
            </w:r>
          </w:p>
        </w:tc>
      </w:tr>
      <w:tr>
        <w:tc>
          <w:tcPr>
            <w:tcW w:type="dxa" w:w="2484"/>
          </w:tcPr>
          <w:p>
            <w:r>
              <w:rPr>
                <w:sz w:val="18"/>
              </w:rPr>
              <w:t>3. Health Records</w:t>
            </w:r>
          </w:p>
        </w:tc>
        <w:tc>
          <w:tcPr>
            <w:tcW w:type="dxa" w:w="2484"/>
          </w:tcPr>
          <w:p>
            <w:r>
              <w:rPr>
                <w:sz w:val="18"/>
              </w:rPr>
              <w:t>/patient/documents</w:t>
            </w:r>
          </w:p>
        </w:tc>
        <w:tc>
          <w:tcPr>
            <w:tcW w:type="dxa" w:w="2484"/>
          </w:tcPr>
          <w:p>
            <w:r>
              <w:rPr>
                <w:sz w:val="18"/>
              </w:rPr>
              <w:t>Click View preview modal, Download trigger, and Delete confirmation.</w:t>
            </w:r>
          </w:p>
        </w:tc>
        <w:tc>
          <w:tcPr>
            <w:tcW w:type="dxa" w:w="2484"/>
          </w:tcPr>
          <w:p>
            <w:r>
              <w:rPr>
                <w:sz w:val="18"/>
              </w:rPr>
              <w:t>Client-side Dexie IndexedDB file handling and offline record access.</w:t>
            </w:r>
          </w:p>
        </w:tc>
      </w:tr>
      <w:tr>
        <w:tc>
          <w:tcPr>
            <w:tcW w:type="dxa" w:w="2484"/>
          </w:tcPr>
          <w:p>
            <w:r>
              <w:rPr>
                <w:sz w:val="18"/>
              </w:rPr>
              <w:t>4. High-Risk ANC</w:t>
            </w:r>
          </w:p>
        </w:tc>
        <w:tc>
          <w:tcPr>
            <w:tcW w:type="dxa" w:w="2484"/>
          </w:tcPr>
          <w:p>
            <w:r>
              <w:rPr>
                <w:sz w:val="18"/>
              </w:rPr>
              <w:t>/hw/high-risk</w:t>
            </w:r>
          </w:p>
        </w:tc>
        <w:tc>
          <w:tcPr>
            <w:tcW w:type="dxa" w:w="2484"/>
          </w:tcPr>
          <w:p>
            <w:r>
              <w:rPr>
                <w:sz w:val="18"/>
              </w:rPr>
              <w:t>Show KPI tiles (Total, BP, Anemia, Delays), emergency hotline quick dials (108, 102).</w:t>
            </w:r>
          </w:p>
        </w:tc>
        <w:tc>
          <w:tcPr>
            <w:tcW w:type="dxa" w:w="2484"/>
          </w:tcPr>
          <w:p>
            <w:r>
              <w:rPr>
                <w:sz w:val="18"/>
              </w:rPr>
              <w:t>Automated risk stratification and emergency escalation hotlines.</w:t>
            </w:r>
          </w:p>
        </w:tc>
      </w:tr>
      <w:tr>
        <w:tc>
          <w:tcPr>
            <w:tcW w:type="dxa" w:w="2484"/>
          </w:tcPr>
          <w:p>
            <w:r>
              <w:rPr>
                <w:sz w:val="18"/>
              </w:rPr>
              <w:t>5. Offline Sync</w:t>
            </w:r>
          </w:p>
        </w:tc>
        <w:tc>
          <w:tcPr>
            <w:tcW w:type="dxa" w:w="2484"/>
          </w:tcPr>
          <w:p>
            <w:r>
              <w:rPr>
                <w:sz w:val="18"/>
              </w:rPr>
              <w:t>Banner on /hw/high-risk</w:t>
            </w:r>
          </w:p>
        </w:tc>
        <w:tc>
          <w:tcPr>
            <w:tcW w:type="dxa" w:w="2484"/>
          </w:tcPr>
          <w:p>
            <w:r>
              <w:rPr>
                <w:sz w:val="18"/>
              </w:rPr>
              <w:t>Explain offline fallback pill and outbox mutation queueing (db.outbox).</w:t>
            </w:r>
          </w:p>
        </w:tc>
        <w:tc>
          <w:tcPr>
            <w:tcW w:type="dxa" w:w="2484"/>
          </w:tcPr>
          <w:p>
            <w:r>
              <w:rPr>
                <w:sz w:val="18"/>
              </w:rPr>
              <w:t>Zero data loss in remote offline villages via /api/v1/sync/push.</w:t>
            </w:r>
          </w:p>
        </w:tc>
      </w:tr>
      <w:tr>
        <w:tc>
          <w:tcPr>
            <w:tcW w:type="dxa" w:w="2484"/>
          </w:tcPr>
          <w:p>
            <w:r>
              <w:rPr>
                <w:sz w:val="18"/>
              </w:rPr>
              <w:t>6. Doctor &amp; Facility</w:t>
            </w:r>
          </w:p>
        </w:tc>
        <w:tc>
          <w:tcPr>
            <w:tcW w:type="dxa" w:w="2484"/>
          </w:tcPr>
          <w:p>
            <w:r>
              <w:rPr>
                <w:sz w:val="18"/>
              </w:rPr>
              <w:t>/doctor/dashboard &amp; /facility/dashboard</w:t>
            </w:r>
          </w:p>
        </w:tc>
        <w:tc>
          <w:tcPr>
            <w:tcW w:type="dxa" w:w="2484"/>
          </w:tcPr>
          <w:p>
            <w:r>
              <w:rPr>
                <w:sz w:val="18"/>
              </w:rPr>
              <w:t>View clinical referral queue, prescriptions, and facility medicine inventory levels.</w:t>
            </w:r>
          </w:p>
        </w:tc>
        <w:tc>
          <w:tcPr>
            <w:tcW w:type="dxa" w:w="2484"/>
          </w:tcPr>
          <w:p>
            <w:r>
              <w:rPr>
                <w:sz w:val="18"/>
              </w:rPr>
              <w:t>Complete referral lifecycle from village Sub-Centre to District Hospital.</w:t>
            </w:r>
          </w:p>
        </w:tc>
      </w:tr>
    </w:tbl>
    <w:p>
      <w:pPr>
        <w:spacing w:after="240"/>
      </w:pPr>
    </w:p>
    <w:p>
      <w:pPr>
        <w:pStyle w:val="Heading1"/>
        <w:spacing w:before="280" w:after="120"/>
      </w:pPr>
      <w:r>
        <w:rPr>
          <w:rFonts w:ascii="Arial" w:hAnsi="Arial"/>
          <w:b/>
          <w:color w:val="0F766E"/>
          <w:sz w:val="32"/>
        </w:rPr>
        <w:t>3. Comprehensive System Architecture Deep-Dive</w:t>
      </w:r>
    </w:p>
    <w:p>
      <w:r>
        <w:t>CLIENT LAYER:</w:t>
        <w:br/>
        <w:t>• Next.js 15 (React 19) App Router with Tailwind CSS v4.</w:t>
        <w:br/>
        <w:t>• Dexie.js IndexedDB Store ('SwasthyaSetuDB'): Stores db.outbox (mutation items) and db.documents (local health files).</w:t>
        <w:br/>
        <w:t>• Client Sync Adapter: Detects online triggers and executes batch pushes.</w:t>
        <w:br/>
        <w:br/>
        <w:t>BACKEND API LAYER:</w:t>
        <w:br/>
        <w:t>• FastAPI Python 3.14 async service layer.</w:t>
        <w:br/>
        <w:t>• 4-Tier Role-Based Access Control (RBAC): Patient, Health Worker, Doctor, Facility Admin enforced in app/api/deps.py.</w:t>
        <w:br/>
        <w:t>• Google Gemini AI Pipeline: Processes voice &amp; colloquial symptom transcripts into structured triage JSON.</w:t>
        <w:br/>
        <w:t>• Differential Sync Engine (/api/v1/sync/push): Handles batch mutations with version-based conflict resolution.</w:t>
        <w:br/>
        <w:br/>
        <w:t>DATA PERSISTENCE LAYER:</w:t>
        <w:br/>
        <w:t>• PostgreSQL 18 Relational Database.</w:t>
        <w:br/>
        <w:t>• Async SQLAlchemy 2.0 ORM with asyncpg driver.</w:t>
        <w:br/>
        <w:t>• Alembic database migration management.</w:t>
      </w:r>
    </w:p>
    <w:p>
      <w:pPr>
        <w:pStyle w:val="Heading1"/>
        <w:spacing w:before="280" w:after="120"/>
      </w:pPr>
      <w:r>
        <w:rPr>
          <w:rFonts w:ascii="Arial" w:hAnsi="Arial"/>
          <w:b/>
          <w:color w:val="0F766E"/>
          <w:sz w:val="32"/>
        </w:rPr>
        <w:t>4. Evaluator Technical Q&amp;A Master Defense Guide</w:t>
      </w:r>
    </w:p>
    <w:p>
      <w:pPr>
        <w:pStyle w:val="Heading3"/>
        <w:spacing w:before="280" w:after="120"/>
      </w:pPr>
      <w:r>
        <w:rPr>
          <w:rFonts w:ascii="Arial" w:hAnsi="Arial"/>
          <w:b/>
          <w:color w:val="1E293B"/>
          <w:sz w:val="22"/>
        </w:rPr>
        <w:t>Q1: How does your offline outbox architecture function in Next.js?</w:t>
      </w:r>
    </w:p>
    <w:p>
      <w:pPr>
        <w:spacing w:after="160"/>
        <w:ind w:left="216"/>
      </w:pPr>
      <w:r>
        <w:rPr>
          <w:sz w:val="20"/>
        </w:rPr>
        <w:t>We use Dexie.js, a TypeScript-friendly wrapper around browser IndexedDB. When an offline action is triggered (such as registering a patient or creating a referral), the application writes an OutboxItem payload to db.outbox with a client UUID and 'queued' status. When online status is detected, our client sync adapter reads the outbox store and executes a batch push to /api/v1/sync/push.</w:t>
      </w:r>
    </w:p>
    <w:p>
      <w:pPr>
        <w:pStyle w:val="Heading3"/>
        <w:spacing w:before="280" w:after="120"/>
      </w:pPr>
      <w:r>
        <w:rPr>
          <w:rFonts w:ascii="Arial" w:hAnsi="Arial"/>
          <w:b/>
          <w:color w:val="1E293B"/>
          <w:sz w:val="22"/>
        </w:rPr>
        <w:t>Q2: Why choose Next.js 15 App Router instead of a standard Single Page Application (Vite/CRA)?</w:t>
      </w:r>
    </w:p>
    <w:p>
      <w:pPr>
        <w:spacing w:after="160"/>
        <w:ind w:left="216"/>
      </w:pPr>
      <w:r>
        <w:rPr>
          <w:sz w:val="20"/>
        </w:rPr>
        <w:t>Next.js 15 App Router provides Server-Side Rendering (SSR) for fast initial loads in low-bandwidth regions, route layout nesting for our 4 distinct role flows (/patient, /hw, /doctor, /facility), and static optimization for public health content.</w:t>
      </w:r>
    </w:p>
    <w:p>
      <w:pPr>
        <w:pStyle w:val="Heading3"/>
        <w:spacing w:before="280" w:after="120"/>
      </w:pPr>
      <w:r>
        <w:rPr>
          <w:rFonts w:ascii="Arial" w:hAnsi="Arial"/>
          <w:b/>
          <w:color w:val="1E293B"/>
          <w:sz w:val="22"/>
        </w:rPr>
        <w:t>Q3: How do you handle file storage and document previews offline?</w:t>
      </w:r>
    </w:p>
    <w:p>
      <w:pPr>
        <w:spacing w:after="160"/>
        <w:ind w:left="216"/>
      </w:pPr>
      <w:r>
        <w:rPr>
          <w:sz w:val="20"/>
        </w:rPr>
        <w:t>Health records and lab diagnostic images are saved directly in IndexedDB as binary Blobs using Dexie (db.documents). For instant previews without server round-trips, we generate temporary object URLs using URL.createObjectURL(blob), providing offline document viewing.</w:t>
      </w:r>
    </w:p>
    <w:p>
      <w:pPr>
        <w:pStyle w:val="Heading3"/>
        <w:spacing w:before="280" w:after="120"/>
      </w:pPr>
      <w:r>
        <w:rPr>
          <w:rFonts w:ascii="Arial" w:hAnsi="Arial"/>
          <w:b/>
          <w:color w:val="1E293B"/>
          <w:sz w:val="22"/>
        </w:rPr>
        <w:t>Q4: How is internationalization (i18n) implemented across the app?</w:t>
      </w:r>
    </w:p>
    <w:p>
      <w:pPr>
        <w:spacing w:after="160"/>
        <w:ind w:left="216"/>
      </w:pPr>
      <w:r>
        <w:rPr>
          <w:sz w:val="20"/>
        </w:rPr>
        <w:t>We implemented a custom React Context provider (languageContext.tsx). Translation dictionaries live in src/lib/i18n/translations.ts. When a user toggles between Hindi and English in the TopBar, all components re-render immediately using key lookup functions (t('key')) without requiring a page refresh.</w:t>
      </w:r>
    </w:p>
    <w:p>
      <w:pPr>
        <w:pStyle w:val="Heading3"/>
        <w:spacing w:before="280" w:after="120"/>
      </w:pPr>
      <w:r>
        <w:rPr>
          <w:rFonts w:ascii="Arial" w:hAnsi="Arial"/>
          <w:b/>
          <w:color w:val="1E293B"/>
          <w:sz w:val="22"/>
        </w:rPr>
        <w:t>Q5: Why did you choose FastAPI over Django or Express.js?</w:t>
      </w:r>
    </w:p>
    <w:p>
      <w:pPr>
        <w:spacing w:after="160"/>
        <w:ind w:left="216"/>
      </w:pPr>
      <w:r>
        <w:rPr>
          <w:sz w:val="20"/>
        </w:rPr>
        <w:t>FastAPI provides asynchronous non-blocking I/O execution via Python’s asyncio and asyncpg, producing performance comparable to Node.js/Go. In addition, FastAPI enforces strict data validation using Pydantic v2 schemas and automatically generates OpenAPI specification documentation at /docs.</w:t>
      </w:r>
    </w:p>
    <w:p>
      <w:pPr>
        <w:pStyle w:val="Heading3"/>
        <w:spacing w:before="280" w:after="120"/>
      </w:pPr>
      <w:r>
        <w:rPr>
          <w:rFonts w:ascii="Arial" w:hAnsi="Arial"/>
          <w:b/>
          <w:color w:val="1E293B"/>
          <w:sz w:val="22"/>
        </w:rPr>
        <w:t>Q6: How is Role-Based Access Control (RBAC) enforced across API routes?</w:t>
      </w:r>
    </w:p>
    <w:p>
      <w:pPr>
        <w:spacing w:after="160"/>
        <w:ind w:left="216"/>
      </w:pPr>
      <w:r>
        <w:rPr>
          <w:sz w:val="20"/>
        </w:rPr>
        <w:t>Authentication tokens contain role and facility_id claims signed with HMAC-SHA256. In backend/app/api/deps.py, we created dependency injection functions (get_current_user, require_role(...)). Before an endpoint handler executes, FastAPI evaluates the dependency, verifies token signatures, and ensures the requesting user role is authorized.</w:t>
      </w:r>
    </w:p>
    <w:p>
      <w:pPr>
        <w:pStyle w:val="Heading3"/>
        <w:spacing w:before="280" w:after="120"/>
      </w:pPr>
      <w:r>
        <w:rPr>
          <w:rFonts w:ascii="Arial" w:hAnsi="Arial"/>
          <w:b/>
          <w:color w:val="1E293B"/>
          <w:sz w:val="22"/>
        </w:rPr>
        <w:t>Q7: How do you prevent data loss or overwrite conflicts when offline clients sync?</w:t>
      </w:r>
    </w:p>
    <w:p>
      <w:pPr>
        <w:spacing w:after="160"/>
        <w:ind w:left="216"/>
      </w:pPr>
      <w:r>
        <w:rPr>
          <w:sz w:val="20"/>
        </w:rPr>
        <w:t>We implemented version-based optimistic concurrency control. Syncable database models maintain an integer version field in PostgreSQL. When an offline client pushes an update, it sends its base_version. If the database version matches, the update succeeds and version increments by 1. If a version mismatch occurs, the sync engine flags a version conflict for manual review rather than overwriting data.</w:t>
      </w:r>
    </w:p>
    <w:p>
      <w:pPr>
        <w:pStyle w:val="Heading3"/>
        <w:spacing w:before="280" w:after="120"/>
      </w:pPr>
      <w:r>
        <w:rPr>
          <w:rFonts w:ascii="Arial" w:hAnsi="Arial"/>
          <w:b/>
          <w:color w:val="1E293B"/>
          <w:sz w:val="22"/>
        </w:rPr>
        <w:t>Q8: What is your database technology stack and migration strategy?</w:t>
      </w:r>
    </w:p>
    <w:p>
      <w:pPr>
        <w:spacing w:after="160"/>
        <w:ind w:left="216"/>
      </w:pPr>
      <w:r>
        <w:rPr>
          <w:sz w:val="20"/>
        </w:rPr>
        <w:t>Our relational database is PostgreSQL 18. Database models are built using SQLAlchemy 2.0 ORM with asyncpg drivers. Database schema changes are version-controlled and applied incrementally using Alembic migrations (alembic upgrade head).</w:t>
      </w:r>
    </w:p>
    <w:p>
      <w:pPr>
        <w:pStyle w:val="Heading3"/>
        <w:spacing w:before="280" w:after="120"/>
      </w:pPr>
      <w:r>
        <w:rPr>
          <w:rFonts w:ascii="Arial" w:hAnsi="Arial"/>
          <w:b/>
          <w:color w:val="1E293B"/>
          <w:sz w:val="22"/>
        </w:rPr>
        <w:t>Q9: How is AI integrated into the clinical workflow?</w:t>
      </w:r>
    </w:p>
    <w:p>
      <w:pPr>
        <w:spacing w:after="160"/>
        <w:ind w:left="216"/>
      </w:pPr>
      <w:r>
        <w:rPr>
          <w:sz w:val="20"/>
        </w:rPr>
        <w:t>We integrated the Google Gemini AI API (google.genai) into our symptom summary service (backend/app/services/symptom_summary.py). It processes free-text or voice-transcribed patient inputs in local languages, categorizes primary symptoms, assigns a severity score, and returns structured JSON recommendations for health worker review.</w:t>
      </w:r>
    </w:p>
    <w:p>
      <w:pPr>
        <w:pStyle w:val="Heading3"/>
        <w:spacing w:before="280" w:after="120"/>
      </w:pPr>
      <w:r>
        <w:rPr>
          <w:rFonts w:ascii="Arial" w:hAnsi="Arial"/>
          <w:b/>
          <w:color w:val="1E293B"/>
          <w:sz w:val="22"/>
        </w:rPr>
        <w:t>Q10: What is the current test coverage and code quality status of your project?</w:t>
      </w:r>
    </w:p>
    <w:p>
      <w:pPr>
        <w:spacing w:after="160"/>
        <w:ind w:left="216"/>
      </w:pPr>
      <w:r>
        <w:rPr>
          <w:sz w:val="20"/>
        </w:rPr>
        <w:t>Our backend test suite features 51/51 passing pytest tests covering auth, RBAC, care gap discovery, maternal tracking, inventory, and sync outbox operations. On the frontend, npm run build compiles with 0 TypeScript compilation or ESLint errors across all 36 application routes.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