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pPr w:leftFromText="180" w:rightFromText="180" w:vertAnchor="page" w:horzAnchor="margin" w:tblpXSpec="center" w:tblpY="2449"/>
        <w:tblW w:w="11180" w:type="dxa"/>
        <w:tblLook w:val="04A0" w:firstRow="1" w:lastRow="0" w:firstColumn="1" w:lastColumn="0" w:noHBand="0" w:noVBand="1"/>
      </w:tblPr>
      <w:tblGrid>
        <w:gridCol w:w="2538"/>
        <w:gridCol w:w="3378"/>
        <w:gridCol w:w="2884"/>
        <w:gridCol w:w="2380"/>
      </w:tblGrid>
      <w:tr w:rsidR="00D56D65" w:rsidRPr="004F4D9E" w14:paraId="67F9C45A" w14:textId="77777777" w:rsidTr="00FB0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0A82A63C" w14:textId="20715A53" w:rsidR="00D56D65" w:rsidRPr="004F4D9E" w:rsidRDefault="00D56D65" w:rsidP="00FB0098">
            <w:pPr>
              <w:ind w:left="0" w:firstLine="0"/>
              <w:rPr>
                <w:rFonts w:ascii="Arial" w:hAnsi="Arial" w:cs="Arial"/>
                <w:sz w:val="32"/>
                <w:szCs w:val="32"/>
              </w:rPr>
            </w:pPr>
            <w:r w:rsidRPr="004F4D9E">
              <w:rPr>
                <w:rFonts w:ascii="Arial" w:hAnsi="Arial" w:cs="Arial"/>
                <w:sz w:val="32"/>
                <w:szCs w:val="32"/>
              </w:rPr>
              <w:t>ACTION</w:t>
            </w:r>
          </w:p>
        </w:tc>
        <w:tc>
          <w:tcPr>
            <w:tcW w:w="3378" w:type="dxa"/>
          </w:tcPr>
          <w:p w14:paraId="513009C3" w14:textId="6305BE01" w:rsidR="00D56D65" w:rsidRPr="004F4D9E" w:rsidRDefault="00D56D65" w:rsidP="00FB0098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4F4D9E">
              <w:rPr>
                <w:rFonts w:ascii="Arial" w:hAnsi="Arial" w:cs="Arial"/>
                <w:sz w:val="32"/>
                <w:szCs w:val="32"/>
              </w:rPr>
              <w:t>DESCRIPTION</w:t>
            </w:r>
          </w:p>
        </w:tc>
        <w:tc>
          <w:tcPr>
            <w:tcW w:w="2884" w:type="dxa"/>
          </w:tcPr>
          <w:p w14:paraId="3AF35FFF" w14:textId="4FAAD6C9" w:rsidR="00D56D65" w:rsidRPr="004F4D9E" w:rsidRDefault="00D56D65" w:rsidP="00FB0098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4F4D9E">
              <w:rPr>
                <w:rFonts w:ascii="Arial" w:hAnsi="Arial" w:cs="Arial"/>
                <w:sz w:val="32"/>
                <w:szCs w:val="32"/>
              </w:rPr>
              <w:t>RESPONSIBILITY</w:t>
            </w:r>
          </w:p>
        </w:tc>
        <w:tc>
          <w:tcPr>
            <w:tcW w:w="2380" w:type="dxa"/>
          </w:tcPr>
          <w:p w14:paraId="25B69188" w14:textId="5D30FA54" w:rsidR="00D56D65" w:rsidRPr="004F4D9E" w:rsidRDefault="00D56D65" w:rsidP="00FB0098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4F4D9E">
              <w:rPr>
                <w:rFonts w:ascii="Arial" w:hAnsi="Arial" w:cs="Arial"/>
                <w:sz w:val="32"/>
                <w:szCs w:val="32"/>
              </w:rPr>
              <w:t>TIMING</w:t>
            </w:r>
          </w:p>
        </w:tc>
      </w:tr>
      <w:tr w:rsidR="00D56D65" w:rsidRPr="004F4D9E" w14:paraId="654DDEEC" w14:textId="77777777" w:rsidTr="00FB0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73EEA881" w14:textId="2877EFF0" w:rsidR="00D56D65" w:rsidRPr="004F4D9E" w:rsidRDefault="00D56D65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Risk Management Policy</w:t>
            </w:r>
          </w:p>
        </w:tc>
        <w:tc>
          <w:tcPr>
            <w:tcW w:w="3378" w:type="dxa"/>
          </w:tcPr>
          <w:p w14:paraId="25C347B7" w14:textId="73DC79E2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Review the currency and effectiveness</w:t>
            </w:r>
          </w:p>
        </w:tc>
        <w:tc>
          <w:tcPr>
            <w:tcW w:w="2884" w:type="dxa"/>
          </w:tcPr>
          <w:p w14:paraId="4FA2EBDB" w14:textId="570C3B1A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Manager Governance &amp; Risk, requires Council adoption</w:t>
            </w:r>
          </w:p>
        </w:tc>
        <w:tc>
          <w:tcPr>
            <w:tcW w:w="2380" w:type="dxa"/>
          </w:tcPr>
          <w:p w14:paraId="6DD20135" w14:textId="400E35C1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Every 4 years unless significant changes</w:t>
            </w:r>
          </w:p>
          <w:p w14:paraId="383F0920" w14:textId="77777777" w:rsidR="00D56D65" w:rsidRPr="004F4D9E" w:rsidRDefault="00D56D65" w:rsidP="00FB00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56D65" w:rsidRPr="004F4D9E" w14:paraId="53519378" w14:textId="77777777" w:rsidTr="00FB0098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776DFCD1" w14:textId="623B3ED8" w:rsidR="00D56D65" w:rsidRPr="004F4D9E" w:rsidRDefault="00D56D65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Enterprise Risk Management Strategy</w:t>
            </w:r>
          </w:p>
        </w:tc>
        <w:tc>
          <w:tcPr>
            <w:tcW w:w="3378" w:type="dxa"/>
          </w:tcPr>
          <w:p w14:paraId="5188CC25" w14:textId="57DAC516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Review the currency and effectiveness</w:t>
            </w:r>
          </w:p>
        </w:tc>
        <w:tc>
          <w:tcPr>
            <w:tcW w:w="2884" w:type="dxa"/>
          </w:tcPr>
          <w:p w14:paraId="080C88C7" w14:textId="433EAE23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Manager Governance &amp; Risk, endorsed by Executive Team and review by Audit, Risk and Improvement Committee (ARIC)</w:t>
            </w:r>
          </w:p>
        </w:tc>
        <w:tc>
          <w:tcPr>
            <w:tcW w:w="2380" w:type="dxa"/>
          </w:tcPr>
          <w:p w14:paraId="63E7EBE5" w14:textId="0A8B9E6F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Annually, and after significant change</w:t>
            </w:r>
          </w:p>
        </w:tc>
      </w:tr>
      <w:tr w:rsidR="00D56D65" w:rsidRPr="004F4D9E" w14:paraId="4B41F6AA" w14:textId="77777777" w:rsidTr="00FB0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7B935648" w14:textId="511C062A" w:rsidR="00D56D65" w:rsidRPr="004F4D9E" w:rsidRDefault="00D56D65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Risk Management Framework</w:t>
            </w:r>
          </w:p>
        </w:tc>
        <w:tc>
          <w:tcPr>
            <w:tcW w:w="3378" w:type="dxa"/>
          </w:tcPr>
          <w:p w14:paraId="5E61F361" w14:textId="5F22FA7E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Review the currency and effectiveness</w:t>
            </w:r>
          </w:p>
        </w:tc>
        <w:tc>
          <w:tcPr>
            <w:tcW w:w="2884" w:type="dxa"/>
          </w:tcPr>
          <w:p w14:paraId="6EC2A761" w14:textId="6C5C7CDB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Manager Governance &amp; Risk, endorsed by Executive Team and review by ARIC</w:t>
            </w:r>
          </w:p>
        </w:tc>
        <w:tc>
          <w:tcPr>
            <w:tcW w:w="2380" w:type="dxa"/>
          </w:tcPr>
          <w:p w14:paraId="3C9C1798" w14:textId="7598DF68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Annually</w:t>
            </w:r>
          </w:p>
        </w:tc>
      </w:tr>
      <w:tr w:rsidR="00D56D65" w:rsidRPr="004F4D9E" w14:paraId="42FC81A1" w14:textId="77777777" w:rsidTr="00FB0098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3CA0A66F" w14:textId="36CCF0EA" w:rsidR="00D56D65" w:rsidRPr="004F4D9E" w:rsidRDefault="00D56D65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Risk Registers</w:t>
            </w:r>
          </w:p>
        </w:tc>
        <w:tc>
          <w:tcPr>
            <w:tcW w:w="3378" w:type="dxa"/>
          </w:tcPr>
          <w:p w14:paraId="7A1DBF85" w14:textId="5F90CB1C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Review risks and controls contained in Council's risk register and identify new or emerging risks</w:t>
            </w:r>
          </w:p>
        </w:tc>
        <w:tc>
          <w:tcPr>
            <w:tcW w:w="2884" w:type="dxa"/>
          </w:tcPr>
          <w:p w14:paraId="6249514B" w14:textId="4C1660A3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Business Unit Managers and supported by Manager Governance &amp; Risk</w:t>
            </w:r>
          </w:p>
        </w:tc>
        <w:tc>
          <w:tcPr>
            <w:tcW w:w="2380" w:type="dxa"/>
          </w:tcPr>
          <w:p w14:paraId="31C08D61" w14:textId="6EB87C5C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Quarterly in conjunction with Operational Plan Review Process</w:t>
            </w:r>
          </w:p>
        </w:tc>
      </w:tr>
      <w:tr w:rsidR="00D56D65" w:rsidRPr="004F4D9E" w14:paraId="386CE18C" w14:textId="77777777" w:rsidTr="00FB0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6C05CA96" w14:textId="72D40E3E" w:rsidR="00D56D65" w:rsidRPr="004F4D9E" w:rsidRDefault="00D56D65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Risk Treatment Plans (RTP)</w:t>
            </w:r>
          </w:p>
        </w:tc>
        <w:tc>
          <w:tcPr>
            <w:tcW w:w="3378" w:type="dxa"/>
          </w:tcPr>
          <w:p w14:paraId="3539D92D" w14:textId="5C575567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Review &amp; ensure that actions required by RTP are incorporated into the Operational Plan</w:t>
            </w:r>
          </w:p>
        </w:tc>
        <w:tc>
          <w:tcPr>
            <w:tcW w:w="2884" w:type="dxa"/>
          </w:tcPr>
          <w:p w14:paraId="074D506B" w14:textId="7C3150A1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Business Unit Manager, coordinated by Manager Governance and Risk</w:t>
            </w:r>
          </w:p>
        </w:tc>
        <w:tc>
          <w:tcPr>
            <w:tcW w:w="2380" w:type="dxa"/>
          </w:tcPr>
          <w:p w14:paraId="3C12CDC5" w14:textId="0F61B947" w:rsidR="00D56D65" w:rsidRPr="004F4D9E" w:rsidRDefault="00D56D65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Quarterly in conjunction with Operational Plan Review Process</w:t>
            </w:r>
          </w:p>
        </w:tc>
      </w:tr>
      <w:tr w:rsidR="00D56D65" w:rsidRPr="004F4D9E" w14:paraId="019E1D53" w14:textId="77777777" w:rsidTr="00FB0098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6FF460C2" w14:textId="44000AF0" w:rsidR="00D56D65" w:rsidRPr="004F4D9E" w:rsidRDefault="00D56D65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Risk assessments for major projects/initiatives</w:t>
            </w:r>
          </w:p>
        </w:tc>
        <w:tc>
          <w:tcPr>
            <w:tcW w:w="3378" w:type="dxa"/>
          </w:tcPr>
          <w:p w14:paraId="0D30D310" w14:textId="076E74DD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Conduct risk assessments as required for major new or altered activities, processes or events</w:t>
            </w:r>
          </w:p>
        </w:tc>
        <w:tc>
          <w:tcPr>
            <w:tcW w:w="2884" w:type="dxa"/>
          </w:tcPr>
          <w:p w14:paraId="251DC589" w14:textId="673816E0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Relevant Manager / Risk Owner (Manager Governance &amp; Risk to assist)</w:t>
            </w:r>
          </w:p>
        </w:tc>
        <w:tc>
          <w:tcPr>
            <w:tcW w:w="2380" w:type="dxa"/>
          </w:tcPr>
          <w:p w14:paraId="022FDF82" w14:textId="2FA2E583" w:rsidR="00D56D65" w:rsidRPr="004F4D9E" w:rsidRDefault="00D56D65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Prior to deciding to proceed with new project/initiative</w:t>
            </w:r>
          </w:p>
        </w:tc>
      </w:tr>
      <w:tr w:rsidR="00D56D65" w:rsidRPr="004F4D9E" w14:paraId="05851361" w14:textId="77777777" w:rsidTr="00FB0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71695952" w14:textId="201725BE" w:rsidR="00D56D65" w:rsidRPr="004F4D9E" w:rsidRDefault="000C08F1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Risk Status Report</w:t>
            </w:r>
          </w:p>
        </w:tc>
        <w:tc>
          <w:tcPr>
            <w:tcW w:w="3378" w:type="dxa"/>
          </w:tcPr>
          <w:p w14:paraId="71949686" w14:textId="04EEC6F2" w:rsidR="00D56D65" w:rsidRPr="004F4D9E" w:rsidRDefault="000C08F1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Identify and review, by exception, any risk issues arising from the quarterly risk register review and the current status of key risks, RTPs, incidents and other relevant issues</w:t>
            </w:r>
          </w:p>
        </w:tc>
        <w:tc>
          <w:tcPr>
            <w:tcW w:w="2884" w:type="dxa"/>
          </w:tcPr>
          <w:p w14:paraId="6C5F76B5" w14:textId="4DFE55A1" w:rsidR="00D56D65" w:rsidRPr="004F4D9E" w:rsidRDefault="000C08F1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Manager Governance &amp; Risk, reported to Executive Team and ARIC</w:t>
            </w:r>
          </w:p>
        </w:tc>
        <w:tc>
          <w:tcPr>
            <w:tcW w:w="2380" w:type="dxa"/>
          </w:tcPr>
          <w:p w14:paraId="2559EA7A" w14:textId="347CDAD2" w:rsidR="00D56D65" w:rsidRPr="004F4D9E" w:rsidRDefault="000C08F1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Quarterly</w:t>
            </w:r>
          </w:p>
        </w:tc>
      </w:tr>
      <w:tr w:rsidR="00D56D65" w:rsidRPr="004F4D9E" w14:paraId="5AC96A34" w14:textId="77777777" w:rsidTr="00FB0098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638FFFEB" w14:textId="5AC63025" w:rsidR="00D56D65" w:rsidRPr="004F4D9E" w:rsidRDefault="000C08F1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Annual Report</w:t>
            </w:r>
          </w:p>
        </w:tc>
        <w:tc>
          <w:tcPr>
            <w:tcW w:w="3378" w:type="dxa"/>
          </w:tcPr>
          <w:p w14:paraId="2659BDA7" w14:textId="20AF1254" w:rsidR="00D56D65" w:rsidRPr="004F4D9E" w:rsidRDefault="000C08F1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Detail risk management activities undertaken during the year and any relevant risk issues</w:t>
            </w:r>
          </w:p>
        </w:tc>
        <w:tc>
          <w:tcPr>
            <w:tcW w:w="2884" w:type="dxa"/>
          </w:tcPr>
          <w:p w14:paraId="5BCD7CFE" w14:textId="55DC9E1A" w:rsidR="00D56D65" w:rsidRPr="004F4D9E" w:rsidRDefault="000C08F1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Manager Governance &amp; Risk</w:t>
            </w:r>
          </w:p>
        </w:tc>
        <w:tc>
          <w:tcPr>
            <w:tcW w:w="2380" w:type="dxa"/>
          </w:tcPr>
          <w:p w14:paraId="7541077E" w14:textId="2ADEE151" w:rsidR="00D56D65" w:rsidRPr="004F4D9E" w:rsidRDefault="000C08F1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Annually</w:t>
            </w:r>
          </w:p>
        </w:tc>
      </w:tr>
      <w:tr w:rsidR="00D56D65" w:rsidRPr="004F4D9E" w14:paraId="2789B910" w14:textId="77777777" w:rsidTr="00FB0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54D0476E" w14:textId="4F1808FF" w:rsidR="00D56D65" w:rsidRPr="004F4D9E" w:rsidRDefault="000C08F1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Integrated planning documents</w:t>
            </w:r>
          </w:p>
        </w:tc>
        <w:tc>
          <w:tcPr>
            <w:tcW w:w="3378" w:type="dxa"/>
          </w:tcPr>
          <w:p w14:paraId="55512D2A" w14:textId="015C34D5" w:rsidR="00D56D65" w:rsidRPr="004F4D9E" w:rsidRDefault="000C08F1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Identify key risks that may impact on objectives including strategies and controls in place (or proposed) to manage those risks</w:t>
            </w:r>
          </w:p>
        </w:tc>
        <w:tc>
          <w:tcPr>
            <w:tcW w:w="2884" w:type="dxa"/>
          </w:tcPr>
          <w:p w14:paraId="263E74CF" w14:textId="6BBBCA88" w:rsidR="00D56D65" w:rsidRPr="004F4D9E" w:rsidRDefault="000C08F1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Managers / Risk Owners (overseen by Manager Governance &amp; Risk)</w:t>
            </w:r>
          </w:p>
        </w:tc>
        <w:tc>
          <w:tcPr>
            <w:tcW w:w="2380" w:type="dxa"/>
          </w:tcPr>
          <w:p w14:paraId="4513E6CA" w14:textId="584142DE" w:rsidR="00D56D65" w:rsidRPr="004F4D9E" w:rsidRDefault="000C08F1" w:rsidP="00FB009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Annually</w:t>
            </w:r>
          </w:p>
        </w:tc>
      </w:tr>
      <w:tr w:rsidR="00D56D65" w:rsidRPr="004F4D9E" w14:paraId="6FB884BB" w14:textId="77777777" w:rsidTr="00FB0098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77E839BB" w14:textId="449D6D3B" w:rsidR="00D56D65" w:rsidRPr="004F4D9E" w:rsidRDefault="000C08F1" w:rsidP="00FB0098">
            <w:pPr>
              <w:ind w:left="0" w:firstLine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Training</w:t>
            </w:r>
          </w:p>
        </w:tc>
        <w:tc>
          <w:tcPr>
            <w:tcW w:w="3378" w:type="dxa"/>
          </w:tcPr>
          <w:p w14:paraId="22FBAF26" w14:textId="470F992E" w:rsidR="00D56D65" w:rsidRPr="004F4D9E" w:rsidRDefault="000C08F1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Ensure risk owners and other staff are aware of the risk management process and their obligations</w:t>
            </w:r>
          </w:p>
        </w:tc>
        <w:tc>
          <w:tcPr>
            <w:tcW w:w="2884" w:type="dxa"/>
          </w:tcPr>
          <w:p w14:paraId="2C7B1428" w14:textId="6F5F2E41" w:rsidR="00D56D65" w:rsidRPr="004F4D9E" w:rsidRDefault="000C08F1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Manager Governance and Risk</w:t>
            </w:r>
          </w:p>
        </w:tc>
        <w:tc>
          <w:tcPr>
            <w:tcW w:w="2380" w:type="dxa"/>
          </w:tcPr>
          <w:p w14:paraId="1D970ACF" w14:textId="4A577A3D" w:rsidR="00D56D65" w:rsidRPr="004F4D9E" w:rsidRDefault="00F47EB9" w:rsidP="00FB009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F4D9E">
              <w:rPr>
                <w:rFonts w:ascii="Arial" w:hAnsi="Arial" w:cs="Arial"/>
              </w:rPr>
              <w:t>Refresher for all Managers and Risk Owners every four years. Introduction for all new staff at induction.</w:t>
            </w:r>
          </w:p>
          <w:p w14:paraId="08C103B9" w14:textId="77777777" w:rsidR="00F47EB9" w:rsidRPr="004F4D9E" w:rsidRDefault="00F47EB9" w:rsidP="00FB0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72660197" w14:textId="4D03F338" w:rsidR="00FB0098" w:rsidRPr="00FB0098" w:rsidRDefault="00FB0098" w:rsidP="00FB009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0098">
        <w:rPr>
          <w:rFonts w:ascii="Times New Roman" w:hAnsi="Times New Roman" w:cs="Times New Roman"/>
          <w:b/>
          <w:bCs/>
          <w:sz w:val="40"/>
          <w:szCs w:val="40"/>
        </w:rPr>
        <w:t>Table 3: Risk management activities, reporting and review</w:t>
      </w:r>
    </w:p>
    <w:sectPr w:rsidR="00FB0098" w:rsidRPr="00FB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7B5C" w14:textId="77777777" w:rsidR="008F0685" w:rsidRDefault="008F0685" w:rsidP="00FB0098">
      <w:pPr>
        <w:spacing w:after="0" w:line="240" w:lineRule="auto"/>
      </w:pPr>
      <w:r>
        <w:separator/>
      </w:r>
    </w:p>
  </w:endnote>
  <w:endnote w:type="continuationSeparator" w:id="0">
    <w:p w14:paraId="1D8C4BC7" w14:textId="77777777" w:rsidR="008F0685" w:rsidRDefault="008F0685" w:rsidP="00FB0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D3E1" w14:textId="77777777" w:rsidR="008F0685" w:rsidRDefault="008F0685" w:rsidP="00FB0098">
      <w:pPr>
        <w:spacing w:after="0" w:line="240" w:lineRule="auto"/>
      </w:pPr>
      <w:r>
        <w:separator/>
      </w:r>
    </w:p>
  </w:footnote>
  <w:footnote w:type="continuationSeparator" w:id="0">
    <w:p w14:paraId="453D5455" w14:textId="77777777" w:rsidR="008F0685" w:rsidRDefault="008F0685" w:rsidP="00FB00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EA"/>
    <w:rsid w:val="000C08F1"/>
    <w:rsid w:val="001211B0"/>
    <w:rsid w:val="004F4D9E"/>
    <w:rsid w:val="005444B4"/>
    <w:rsid w:val="008F0685"/>
    <w:rsid w:val="009628EA"/>
    <w:rsid w:val="009E729E"/>
    <w:rsid w:val="00AF0460"/>
    <w:rsid w:val="00CC462F"/>
    <w:rsid w:val="00D56D65"/>
    <w:rsid w:val="00E32765"/>
    <w:rsid w:val="00F47EB9"/>
    <w:rsid w:val="00FB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E73C"/>
  <w15:chartTrackingRefBased/>
  <w15:docId w15:val="{AD47120A-046A-4786-AF7E-B2657CD2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-60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EA"/>
    <w:pPr>
      <w:numPr>
        <w:ilvl w:val="1"/>
      </w:numPr>
      <w:ind w:left="-60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6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56D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D56D6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D56D6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B0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098"/>
  </w:style>
  <w:style w:type="paragraph" w:styleId="Footer">
    <w:name w:val="footer"/>
    <w:basedOn w:val="Normal"/>
    <w:link w:val="FooterChar"/>
    <w:uiPriority w:val="99"/>
    <w:unhideWhenUsed/>
    <w:rsid w:val="00FB0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67830-AF2F-4A54-A845-DCC25A3E8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</dc:creator>
  <cp:keywords/>
  <dc:description/>
  <cp:lastModifiedBy>Neha K</cp:lastModifiedBy>
  <cp:revision>5</cp:revision>
  <dcterms:created xsi:type="dcterms:W3CDTF">2026-06-30T09:03:00Z</dcterms:created>
  <dcterms:modified xsi:type="dcterms:W3CDTF">2026-06-30T09:25:00Z</dcterms:modified>
</cp:coreProperties>
</file>