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F5A9" w14:textId="77777777" w:rsidR="00BE7F8B" w:rsidRPr="00BE7F8B" w:rsidRDefault="00BE7F8B" w:rsidP="00BE7F8B">
      <w:pPr>
        <w:ind w:left="-284" w:firstLine="0"/>
        <w:rPr>
          <w:rFonts w:ascii="Times New Roman" w:hAnsi="Times New Roman" w:cs="Times New Roman"/>
          <w:b/>
          <w:bCs/>
          <w:color w:val="000000" w:themeColor="text1"/>
          <w:sz w:val="44"/>
          <w:szCs w:val="44"/>
        </w:rPr>
      </w:pPr>
      <w:r w:rsidRPr="00BE7F8B">
        <w:rPr>
          <w:rFonts w:ascii="Times New Roman" w:hAnsi="Times New Roman" w:cs="Times New Roman"/>
          <w:b/>
          <w:bCs/>
          <w:color w:val="000000" w:themeColor="text1"/>
          <w:sz w:val="44"/>
          <w:szCs w:val="44"/>
        </w:rPr>
        <w:t>Building Enterprise Risk Management Policy (Sample)</w:t>
      </w:r>
    </w:p>
    <w:p w14:paraId="66A70BD7" w14:textId="77777777" w:rsidR="00BE7F8B" w:rsidRPr="00BE7F8B" w:rsidRDefault="00BE7F8B" w:rsidP="00BE7F8B">
      <w:pPr>
        <w:ind w:left="-284" w:firstLine="0"/>
        <w:rPr>
          <w:rFonts w:ascii="Times New Roman" w:hAnsi="Times New Roman" w:cs="Times New Roman"/>
          <w:b/>
          <w:bCs/>
          <w:color w:val="000000" w:themeColor="text1"/>
          <w:sz w:val="44"/>
          <w:szCs w:val="44"/>
        </w:rPr>
      </w:pPr>
      <w:r w:rsidRPr="00BE7F8B">
        <w:rPr>
          <w:rFonts w:ascii="Times New Roman" w:hAnsi="Times New Roman" w:cs="Times New Roman"/>
          <w:b/>
          <w:bCs/>
          <w:color w:val="000000" w:themeColor="text1"/>
          <w:sz w:val="44"/>
          <w:szCs w:val="44"/>
        </w:rPr>
        <w:t>Policy Information</w:t>
      </w:r>
    </w:p>
    <w:tbl>
      <w:tblPr>
        <w:tblStyle w:val="TableGridLight"/>
        <w:tblW w:w="0" w:type="auto"/>
        <w:tblLook w:val="04A0" w:firstRow="1" w:lastRow="0" w:firstColumn="1" w:lastColumn="0" w:noHBand="0" w:noVBand="1"/>
      </w:tblPr>
      <w:tblGrid>
        <w:gridCol w:w="2254"/>
        <w:gridCol w:w="2254"/>
        <w:gridCol w:w="2254"/>
        <w:gridCol w:w="2254"/>
      </w:tblGrid>
      <w:tr w:rsidR="00BE7F8B" w:rsidRPr="00BE7F8B" w14:paraId="5BF111FB" w14:textId="77777777" w:rsidTr="00BE7F8B">
        <w:tc>
          <w:tcPr>
            <w:tcW w:w="9016" w:type="dxa"/>
            <w:gridSpan w:val="4"/>
            <w:shd w:val="clear" w:color="auto" w:fill="000000" w:themeFill="text1"/>
          </w:tcPr>
          <w:p w14:paraId="550C8256" w14:textId="4A5432B2" w:rsidR="00BE7F8B" w:rsidRPr="00BE7F8B" w:rsidRDefault="00BE7F8B" w:rsidP="00BE7F8B">
            <w:pPr>
              <w:ind w:left="0" w:firstLine="0"/>
              <w:rPr>
                <w:rFonts w:ascii="Times New Roman" w:hAnsi="Times New Roman" w:cs="Times New Roman"/>
                <w:color w:val="FFFFFF" w:themeColor="background1"/>
                <w:sz w:val="24"/>
                <w:szCs w:val="24"/>
              </w:rPr>
            </w:pPr>
            <w:r w:rsidRPr="00BE7F8B">
              <w:rPr>
                <w:rFonts w:ascii="Times New Roman" w:hAnsi="Times New Roman" w:cs="Times New Roman"/>
                <w:color w:val="FFFFFF" w:themeColor="background1"/>
                <w:sz w:val="24"/>
                <w:szCs w:val="24"/>
              </w:rPr>
              <w:t>POLICY INFORMATION</w:t>
            </w:r>
          </w:p>
        </w:tc>
      </w:tr>
      <w:tr w:rsidR="00BE7F8B" w:rsidRPr="00BE7F8B" w14:paraId="3D91F2DC" w14:textId="77777777" w:rsidTr="00BE7F8B">
        <w:tc>
          <w:tcPr>
            <w:tcW w:w="2254" w:type="dxa"/>
          </w:tcPr>
          <w:p w14:paraId="4A4BA3DF" w14:textId="5149BC02" w:rsidR="00BE7F8B" w:rsidRPr="00BE7F8B" w:rsidRDefault="00BE7F8B" w:rsidP="00BE7F8B">
            <w:pPr>
              <w:ind w:left="0" w:firstLine="0"/>
              <w:rPr>
                <w:rFonts w:ascii="Times New Roman" w:hAnsi="Times New Roman" w:cs="Times New Roman"/>
                <w:color w:val="000000" w:themeColor="text1"/>
                <w:sz w:val="24"/>
                <w:szCs w:val="24"/>
              </w:rPr>
            </w:pPr>
            <w:r w:rsidRPr="00BE7F8B">
              <w:rPr>
                <w:rFonts w:ascii="Times New Roman" w:hAnsi="Times New Roman" w:cs="Times New Roman"/>
                <w:b/>
                <w:bCs/>
                <w:color w:val="000000" w:themeColor="text1"/>
                <w:sz w:val="24"/>
                <w:szCs w:val="24"/>
              </w:rPr>
              <w:t>Effective</w:t>
            </w:r>
            <w:r>
              <w:rPr>
                <w:rFonts w:ascii="Times New Roman" w:hAnsi="Times New Roman" w:cs="Times New Roman"/>
                <w:b/>
                <w:bCs/>
                <w:color w:val="000000" w:themeColor="text1"/>
                <w:sz w:val="24"/>
                <w:szCs w:val="24"/>
              </w:rPr>
              <w:t xml:space="preserve"> Date</w:t>
            </w:r>
          </w:p>
        </w:tc>
        <w:tc>
          <w:tcPr>
            <w:tcW w:w="2254" w:type="dxa"/>
          </w:tcPr>
          <w:p w14:paraId="52DA8C1C" w14:textId="0D2E4A22"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Oct 20, 2025</w:t>
            </w:r>
          </w:p>
        </w:tc>
        <w:tc>
          <w:tcPr>
            <w:tcW w:w="2254" w:type="dxa"/>
          </w:tcPr>
          <w:p w14:paraId="253DEFCE" w14:textId="41FC2B8B"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Policy Type</w:t>
            </w:r>
          </w:p>
        </w:tc>
        <w:tc>
          <w:tcPr>
            <w:tcW w:w="2254" w:type="dxa"/>
          </w:tcPr>
          <w:p w14:paraId="54257F50" w14:textId="42A7DA1A"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Administrative</w:t>
            </w:r>
          </w:p>
        </w:tc>
      </w:tr>
      <w:tr w:rsidR="00BE7F8B" w:rsidRPr="00BE7F8B" w14:paraId="7D812265" w14:textId="77777777" w:rsidTr="00BE7F8B">
        <w:tc>
          <w:tcPr>
            <w:tcW w:w="2254" w:type="dxa"/>
          </w:tcPr>
          <w:p w14:paraId="231EB0C0" w14:textId="221B4A62" w:rsidR="00BE7F8B" w:rsidRPr="00BE7F8B" w:rsidRDefault="00BE7F8B" w:rsidP="00BE7F8B">
            <w:pPr>
              <w:ind w:left="0" w:firstLine="0"/>
              <w:rPr>
                <w:rFonts w:ascii="Times New Roman" w:hAnsi="Times New Roman" w:cs="Times New Roman"/>
                <w:b/>
                <w:bCs/>
                <w:color w:val="000000" w:themeColor="text1"/>
                <w:sz w:val="24"/>
                <w:szCs w:val="24"/>
              </w:rPr>
            </w:pPr>
            <w:r w:rsidRPr="00BE7F8B">
              <w:rPr>
                <w:rFonts w:ascii="Times New Roman" w:hAnsi="Times New Roman" w:cs="Times New Roman"/>
                <w:b/>
                <w:bCs/>
                <w:color w:val="000000" w:themeColor="text1"/>
                <w:sz w:val="24"/>
                <w:szCs w:val="24"/>
              </w:rPr>
              <w:t>Res</w:t>
            </w:r>
            <w:r>
              <w:rPr>
                <w:rFonts w:ascii="Times New Roman" w:hAnsi="Times New Roman" w:cs="Times New Roman"/>
                <w:b/>
                <w:bCs/>
                <w:color w:val="000000" w:themeColor="text1"/>
                <w:sz w:val="24"/>
                <w:szCs w:val="24"/>
              </w:rPr>
              <w:t>ponsibility</w:t>
            </w:r>
          </w:p>
        </w:tc>
        <w:tc>
          <w:tcPr>
            <w:tcW w:w="2254" w:type="dxa"/>
          </w:tcPr>
          <w:p w14:paraId="6B6F6C85" w14:textId="055C5729"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Vice-president, Corporate Services</w:t>
            </w:r>
          </w:p>
        </w:tc>
        <w:tc>
          <w:tcPr>
            <w:tcW w:w="2254" w:type="dxa"/>
          </w:tcPr>
          <w:p w14:paraId="2CA3220E" w14:textId="119CD196"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Related Policies</w:t>
            </w:r>
          </w:p>
        </w:tc>
        <w:tc>
          <w:tcPr>
            <w:tcW w:w="2254" w:type="dxa"/>
          </w:tcPr>
          <w:p w14:paraId="095E30C1" w14:textId="48212E26"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BE7F8B" w:rsidRPr="00BE7F8B" w14:paraId="447C3184" w14:textId="77777777" w:rsidTr="00BE7F8B">
        <w:tc>
          <w:tcPr>
            <w:tcW w:w="2254" w:type="dxa"/>
          </w:tcPr>
          <w:p w14:paraId="5E116511" w14:textId="17F75BA3" w:rsidR="00BE7F8B" w:rsidRPr="00BE7F8B" w:rsidRDefault="00BE7F8B" w:rsidP="00BE7F8B">
            <w:pPr>
              <w:ind w:left="0" w:firstLin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Approval Authority</w:t>
            </w:r>
          </w:p>
        </w:tc>
        <w:tc>
          <w:tcPr>
            <w:tcW w:w="2254" w:type="dxa"/>
          </w:tcPr>
          <w:p w14:paraId="5C5F1810" w14:textId="65EC0825"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Board of Governance</w:t>
            </w:r>
          </w:p>
        </w:tc>
        <w:tc>
          <w:tcPr>
            <w:tcW w:w="2254" w:type="dxa"/>
          </w:tcPr>
          <w:p w14:paraId="472B0450" w14:textId="63469038"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Review Schedule</w:t>
            </w:r>
          </w:p>
        </w:tc>
        <w:tc>
          <w:tcPr>
            <w:tcW w:w="2254" w:type="dxa"/>
          </w:tcPr>
          <w:p w14:paraId="58515D7C" w14:textId="44DEFD8B" w:rsidR="00BE7F8B" w:rsidRPr="00BE7F8B" w:rsidRDefault="00BE7F8B" w:rsidP="00BE7F8B">
            <w:pPr>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Annually</w:t>
            </w:r>
          </w:p>
        </w:tc>
      </w:tr>
    </w:tbl>
    <w:p w14:paraId="61083EC4" w14:textId="0C7A755D" w:rsidR="00BE7F8B" w:rsidRPr="00BE7F8B" w:rsidRDefault="00BE7F8B" w:rsidP="00BE7F8B">
      <w:pPr>
        <w:ind w:left="-284" w:firstLine="0"/>
        <w:rPr>
          <w:rFonts w:ascii="Times New Roman" w:hAnsi="Times New Roman" w:cs="Times New Roman"/>
          <w:color w:val="000000" w:themeColor="text1"/>
          <w:sz w:val="24"/>
          <w:szCs w:val="24"/>
        </w:rPr>
      </w:pPr>
    </w:p>
    <w:p w14:paraId="145CD97F" w14:textId="77777777" w:rsidR="00BE7F8B" w:rsidRPr="00BE7F8B" w:rsidRDefault="00BE7F8B" w:rsidP="00BE7F8B">
      <w:pPr>
        <w:ind w:left="-284" w:firstLine="0"/>
        <w:rPr>
          <w:rFonts w:ascii="Times New Roman" w:hAnsi="Times New Roman" w:cs="Times New Roman"/>
          <w:b/>
          <w:bCs/>
          <w:color w:val="000000" w:themeColor="text1"/>
          <w:sz w:val="32"/>
          <w:szCs w:val="32"/>
        </w:rPr>
      </w:pPr>
      <w:r w:rsidRPr="00BE7F8B">
        <w:rPr>
          <w:rFonts w:ascii="Times New Roman" w:hAnsi="Times New Roman" w:cs="Times New Roman"/>
          <w:b/>
          <w:bCs/>
          <w:color w:val="000000" w:themeColor="text1"/>
          <w:sz w:val="32"/>
          <w:szCs w:val="32"/>
        </w:rPr>
        <w:t>Policy Statement</w:t>
      </w:r>
    </w:p>
    <w:p w14:paraId="4910987B" w14:textId="77777777" w:rsidR="00BE7F8B" w:rsidRPr="00BE7F8B" w:rsidRDefault="00BE7F8B" w:rsidP="00BE7F8B">
      <w:pPr>
        <w:ind w:left="-284" w:firstLine="0"/>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"ABC is committed to creating and maintaining an Institutional Enterprise Risk Management program. The institution is focused on properly managing its risks while pursuing opportunities to enhance the value of the Institution."</w:t>
      </w:r>
    </w:p>
    <w:p w14:paraId="1CB67B21" w14:textId="50F53B57" w:rsidR="00BE7F8B" w:rsidRPr="00BE7F8B" w:rsidRDefault="00BE7F8B" w:rsidP="00BE7F8B">
      <w:pPr>
        <w:ind w:left="-284" w:firstLine="0"/>
        <w:rPr>
          <w:rFonts w:ascii="Times New Roman" w:hAnsi="Times New Roman" w:cs="Times New Roman"/>
          <w:color w:val="000000" w:themeColor="text1"/>
          <w:sz w:val="24"/>
          <w:szCs w:val="24"/>
        </w:rPr>
      </w:pPr>
    </w:p>
    <w:p w14:paraId="1F9E6FAA" w14:textId="77777777" w:rsidR="00BE7F8B" w:rsidRPr="00BE7F8B" w:rsidRDefault="00BE7F8B" w:rsidP="00BE7F8B">
      <w:pPr>
        <w:ind w:left="-284" w:firstLine="0"/>
        <w:rPr>
          <w:rFonts w:ascii="Times New Roman" w:hAnsi="Times New Roman" w:cs="Times New Roman"/>
          <w:b/>
          <w:bCs/>
          <w:color w:val="000000" w:themeColor="text1"/>
          <w:sz w:val="32"/>
          <w:szCs w:val="32"/>
        </w:rPr>
      </w:pPr>
      <w:r w:rsidRPr="00BE7F8B">
        <w:rPr>
          <w:rFonts w:ascii="Times New Roman" w:hAnsi="Times New Roman" w:cs="Times New Roman"/>
          <w:b/>
          <w:bCs/>
          <w:color w:val="000000" w:themeColor="text1"/>
          <w:sz w:val="32"/>
          <w:szCs w:val="32"/>
        </w:rPr>
        <w:t>Scope</w:t>
      </w:r>
    </w:p>
    <w:p w14:paraId="1C2E9BF6" w14:textId="77777777" w:rsidR="00BE7F8B" w:rsidRPr="00BE7F8B" w:rsidRDefault="00BE7F8B" w:rsidP="00BE7F8B">
      <w:pPr>
        <w:ind w:left="-284" w:firstLine="0"/>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This policy applies to all activities of the Institution, including academic, research, administration, and support activities.</w:t>
      </w:r>
    </w:p>
    <w:p w14:paraId="4321DF9E" w14:textId="6AF2482D" w:rsidR="00BE7F8B" w:rsidRPr="00BE7F8B" w:rsidRDefault="00BE7F8B" w:rsidP="00BE7F8B">
      <w:pPr>
        <w:ind w:left="-284" w:firstLine="0"/>
        <w:rPr>
          <w:rFonts w:ascii="Times New Roman" w:hAnsi="Times New Roman" w:cs="Times New Roman"/>
          <w:color w:val="000000" w:themeColor="text1"/>
          <w:sz w:val="24"/>
          <w:szCs w:val="24"/>
        </w:rPr>
      </w:pPr>
    </w:p>
    <w:p w14:paraId="058C9388" w14:textId="77777777" w:rsidR="00BE7F8B" w:rsidRPr="00BE7F8B" w:rsidRDefault="00BE7F8B" w:rsidP="00BE7F8B">
      <w:pPr>
        <w:ind w:left="-284" w:firstLine="0"/>
        <w:rPr>
          <w:rFonts w:ascii="Times New Roman" w:hAnsi="Times New Roman" w:cs="Times New Roman"/>
          <w:b/>
          <w:bCs/>
          <w:color w:val="000000" w:themeColor="text1"/>
          <w:sz w:val="32"/>
          <w:szCs w:val="32"/>
        </w:rPr>
      </w:pPr>
      <w:r w:rsidRPr="00BE7F8B">
        <w:rPr>
          <w:rFonts w:ascii="Times New Roman" w:hAnsi="Times New Roman" w:cs="Times New Roman"/>
          <w:b/>
          <w:bCs/>
          <w:color w:val="000000" w:themeColor="text1"/>
          <w:sz w:val="32"/>
          <w:szCs w:val="32"/>
        </w:rPr>
        <w:t>Reason for Policy</w:t>
      </w:r>
    </w:p>
    <w:p w14:paraId="7D0487CB" w14:textId="77777777" w:rsidR="00BE7F8B" w:rsidRPr="00BE7F8B" w:rsidRDefault="00BE7F8B" w:rsidP="00BE7F8B">
      <w:pPr>
        <w:ind w:left="-284" w:firstLine="0"/>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This policy assists decision-making processes that support the acceptance of risk, management of existing uncertainty, and the approach to new opportunities. This Policy is a statement of commitment by the Institution to ensure the introduction, adoption, and implementation of an effective ERM program.</w:t>
      </w:r>
    </w:p>
    <w:p w14:paraId="31DA6A36" w14:textId="4FCA578E" w:rsidR="00BE7F8B" w:rsidRPr="00BE7F8B" w:rsidRDefault="00BE7F8B" w:rsidP="00BE7F8B">
      <w:pPr>
        <w:ind w:left="-284" w:firstLine="0"/>
        <w:rPr>
          <w:rFonts w:ascii="Times New Roman" w:hAnsi="Times New Roman" w:cs="Times New Roman"/>
          <w:color w:val="000000" w:themeColor="text1"/>
          <w:sz w:val="24"/>
          <w:szCs w:val="24"/>
        </w:rPr>
      </w:pPr>
    </w:p>
    <w:p w14:paraId="23297003" w14:textId="77777777" w:rsidR="00BE7F8B" w:rsidRPr="00BE7F8B" w:rsidRDefault="00BE7F8B" w:rsidP="00BE7F8B">
      <w:pPr>
        <w:ind w:left="-284" w:firstLine="0"/>
        <w:rPr>
          <w:rFonts w:ascii="Times New Roman" w:hAnsi="Times New Roman" w:cs="Times New Roman"/>
          <w:b/>
          <w:bCs/>
          <w:color w:val="000000" w:themeColor="text1"/>
          <w:sz w:val="32"/>
          <w:szCs w:val="32"/>
        </w:rPr>
      </w:pPr>
      <w:r w:rsidRPr="00BE7F8B">
        <w:rPr>
          <w:rFonts w:ascii="Times New Roman" w:hAnsi="Times New Roman" w:cs="Times New Roman"/>
          <w:b/>
          <w:bCs/>
          <w:color w:val="000000" w:themeColor="text1"/>
          <w:sz w:val="32"/>
          <w:szCs w:val="32"/>
        </w:rPr>
        <w:t>Define Roles</w:t>
      </w:r>
    </w:p>
    <w:p w14:paraId="07BAE721" w14:textId="77777777" w:rsidR="00BE7F8B" w:rsidRPr="00BE7F8B" w:rsidRDefault="00BE7F8B" w:rsidP="00BE7F8B">
      <w:pPr>
        <w:ind w:left="-284" w:firstLine="0"/>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For example:</w:t>
      </w:r>
    </w:p>
    <w:p w14:paraId="28418DC5" w14:textId="77777777" w:rsidR="00BE7F8B" w:rsidRPr="00BE7F8B" w:rsidRDefault="00BE7F8B" w:rsidP="00BE7F8B">
      <w:pPr>
        <w:pStyle w:val="ListParagraph"/>
        <w:numPr>
          <w:ilvl w:val="0"/>
          <w:numId w:val="2"/>
        </w:numPr>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Board of Governors</w:t>
      </w:r>
    </w:p>
    <w:p w14:paraId="75E87B8E" w14:textId="77777777" w:rsidR="00BE7F8B" w:rsidRPr="00BE7F8B" w:rsidRDefault="00BE7F8B" w:rsidP="00BE7F8B">
      <w:pPr>
        <w:pStyle w:val="ListParagraph"/>
        <w:numPr>
          <w:ilvl w:val="0"/>
          <w:numId w:val="2"/>
        </w:numPr>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NWP Audit Committee</w:t>
      </w:r>
    </w:p>
    <w:p w14:paraId="72D8F13E" w14:textId="77777777" w:rsidR="00BE7F8B" w:rsidRPr="00BE7F8B" w:rsidRDefault="00BE7F8B" w:rsidP="00BE7F8B">
      <w:pPr>
        <w:pStyle w:val="ListParagraph"/>
        <w:numPr>
          <w:ilvl w:val="0"/>
          <w:numId w:val="2"/>
        </w:numPr>
        <w:rPr>
          <w:rFonts w:ascii="Times New Roman" w:hAnsi="Times New Roman" w:cs="Times New Roman"/>
          <w:color w:val="000000" w:themeColor="text1"/>
          <w:sz w:val="24"/>
          <w:szCs w:val="24"/>
        </w:rPr>
      </w:pPr>
      <w:r w:rsidRPr="00BE7F8B">
        <w:rPr>
          <w:rFonts w:ascii="Times New Roman" w:hAnsi="Times New Roman" w:cs="Times New Roman"/>
          <w:color w:val="000000" w:themeColor="text1"/>
          <w:sz w:val="24"/>
          <w:szCs w:val="24"/>
        </w:rPr>
        <w:t>President &amp; CEO</w:t>
      </w:r>
    </w:p>
    <w:p w14:paraId="07ABBEB4" w14:textId="208DC38C" w:rsidR="00BE7F8B" w:rsidRPr="00BE7F8B" w:rsidRDefault="00BE7F8B" w:rsidP="00BE7F8B">
      <w:pPr>
        <w:ind w:left="-284" w:firstLine="0"/>
        <w:rPr>
          <w:rFonts w:ascii="Times New Roman" w:hAnsi="Times New Roman" w:cs="Times New Roman"/>
          <w:color w:val="000000" w:themeColor="text1"/>
          <w:sz w:val="24"/>
          <w:szCs w:val="24"/>
        </w:rPr>
      </w:pPr>
    </w:p>
    <w:p w14:paraId="62BFB783" w14:textId="77777777" w:rsidR="00BE7F8B" w:rsidRPr="00BE7F8B" w:rsidRDefault="00BE7F8B" w:rsidP="00BE7F8B">
      <w:pPr>
        <w:ind w:left="-284" w:firstLine="0"/>
        <w:rPr>
          <w:rFonts w:ascii="Times New Roman" w:hAnsi="Times New Roman" w:cs="Times New Roman"/>
          <w:b/>
          <w:bCs/>
          <w:color w:val="000000" w:themeColor="text1"/>
          <w:sz w:val="32"/>
          <w:szCs w:val="32"/>
        </w:rPr>
      </w:pPr>
      <w:r w:rsidRPr="00BE7F8B">
        <w:rPr>
          <w:rFonts w:ascii="Times New Roman" w:hAnsi="Times New Roman" w:cs="Times New Roman"/>
          <w:b/>
          <w:bCs/>
          <w:color w:val="000000" w:themeColor="text1"/>
          <w:sz w:val="32"/>
          <w:szCs w:val="32"/>
        </w:rPr>
        <w:t>Define Risk Management Process</w:t>
      </w:r>
    </w:p>
    <w:p w14:paraId="49C3D677" w14:textId="77777777" w:rsidR="00AF0460" w:rsidRPr="00BE7F8B" w:rsidRDefault="00AF0460" w:rsidP="00BE7F8B">
      <w:pPr>
        <w:ind w:left="-284" w:firstLine="0"/>
        <w:rPr>
          <w:rFonts w:ascii="Times New Roman" w:hAnsi="Times New Roman" w:cs="Times New Roman"/>
          <w:color w:val="000000" w:themeColor="text1"/>
          <w:sz w:val="24"/>
          <w:szCs w:val="24"/>
        </w:rPr>
      </w:pPr>
    </w:p>
    <w:sectPr w:rsidR="00AF0460" w:rsidRPr="00BE7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B7016"/>
    <w:multiLevelType w:val="hybridMultilevel"/>
    <w:tmpl w:val="920C7B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 w15:restartNumberingAfterBreak="0">
    <w:nsid w:val="63DA7DE8"/>
    <w:multiLevelType w:val="multilevel"/>
    <w:tmpl w:val="1EC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4533">
    <w:abstractNumId w:val="1"/>
  </w:num>
  <w:num w:numId="2" w16cid:durableId="146480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E6"/>
    <w:rsid w:val="00062EE6"/>
    <w:rsid w:val="001B0C12"/>
    <w:rsid w:val="005444B4"/>
    <w:rsid w:val="009E729E"/>
    <w:rsid w:val="00AF0460"/>
    <w:rsid w:val="00BE7F8B"/>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7BE5"/>
  <w15:chartTrackingRefBased/>
  <w15:docId w15:val="{A6601683-7B08-4D84-AE71-C01A146E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EE6"/>
    <w:rPr>
      <w:rFonts w:eastAsiaTheme="majorEastAsia" w:cstheme="majorBidi"/>
      <w:color w:val="272727" w:themeColor="text1" w:themeTint="D8"/>
    </w:rPr>
  </w:style>
  <w:style w:type="paragraph" w:styleId="Title">
    <w:name w:val="Title"/>
    <w:basedOn w:val="Normal"/>
    <w:next w:val="Normal"/>
    <w:link w:val="TitleChar"/>
    <w:uiPriority w:val="10"/>
    <w:qFormat/>
    <w:rsid w:val="00062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EE6"/>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EE6"/>
    <w:pPr>
      <w:spacing w:before="160"/>
      <w:jc w:val="center"/>
    </w:pPr>
    <w:rPr>
      <w:i/>
      <w:iCs/>
      <w:color w:val="404040" w:themeColor="text1" w:themeTint="BF"/>
    </w:rPr>
  </w:style>
  <w:style w:type="character" w:customStyle="1" w:styleId="QuoteChar">
    <w:name w:val="Quote Char"/>
    <w:basedOn w:val="DefaultParagraphFont"/>
    <w:link w:val="Quote"/>
    <w:uiPriority w:val="29"/>
    <w:rsid w:val="00062EE6"/>
    <w:rPr>
      <w:i/>
      <w:iCs/>
      <w:color w:val="404040" w:themeColor="text1" w:themeTint="BF"/>
    </w:rPr>
  </w:style>
  <w:style w:type="paragraph" w:styleId="ListParagraph">
    <w:name w:val="List Paragraph"/>
    <w:basedOn w:val="Normal"/>
    <w:uiPriority w:val="34"/>
    <w:qFormat/>
    <w:rsid w:val="00062EE6"/>
    <w:pPr>
      <w:ind w:left="720"/>
      <w:contextualSpacing/>
    </w:pPr>
  </w:style>
  <w:style w:type="character" w:styleId="IntenseEmphasis">
    <w:name w:val="Intense Emphasis"/>
    <w:basedOn w:val="DefaultParagraphFont"/>
    <w:uiPriority w:val="21"/>
    <w:qFormat/>
    <w:rsid w:val="00062EE6"/>
    <w:rPr>
      <w:i/>
      <w:iCs/>
      <w:color w:val="2F5496" w:themeColor="accent1" w:themeShade="BF"/>
    </w:rPr>
  </w:style>
  <w:style w:type="paragraph" w:styleId="IntenseQuote">
    <w:name w:val="Intense Quote"/>
    <w:basedOn w:val="Normal"/>
    <w:next w:val="Normal"/>
    <w:link w:val="IntenseQuoteChar"/>
    <w:uiPriority w:val="30"/>
    <w:qFormat/>
    <w:rsid w:val="00062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EE6"/>
    <w:rPr>
      <w:i/>
      <w:iCs/>
      <w:color w:val="2F5496" w:themeColor="accent1" w:themeShade="BF"/>
    </w:rPr>
  </w:style>
  <w:style w:type="character" w:styleId="IntenseReference">
    <w:name w:val="Intense Reference"/>
    <w:basedOn w:val="DefaultParagraphFont"/>
    <w:uiPriority w:val="32"/>
    <w:qFormat/>
    <w:rsid w:val="00062EE6"/>
    <w:rPr>
      <w:b/>
      <w:bCs/>
      <w:smallCaps/>
      <w:color w:val="2F5496" w:themeColor="accent1" w:themeShade="BF"/>
      <w:spacing w:val="5"/>
    </w:rPr>
  </w:style>
  <w:style w:type="table" w:styleId="TableGrid">
    <w:name w:val="Table Grid"/>
    <w:basedOn w:val="TableNormal"/>
    <w:uiPriority w:val="39"/>
    <w:rsid w:val="00BE7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BE7F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BE7F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GridLight">
    <w:name w:val="Grid Table Light"/>
    <w:basedOn w:val="TableNormal"/>
    <w:uiPriority w:val="40"/>
    <w:rsid w:val="00BE7F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2</cp:revision>
  <dcterms:created xsi:type="dcterms:W3CDTF">2026-06-30T10:35:00Z</dcterms:created>
  <dcterms:modified xsi:type="dcterms:W3CDTF">2026-06-30T10:43:00Z</dcterms:modified>
</cp:coreProperties>
</file>