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2a8560c9da2f49d3" /><Relationship Type="http://schemas.openxmlformats.org/package/2006/relationships/metadata/core-properties" Target="/docProps/core.xml" Id="R2536ea8894db4b15" /><Relationship Type="http://schemas.openxmlformats.org/officeDocument/2006/relationships/extended-properties" Target="/docProps/app.xml" Id="R346fd4a86c664411" /><Relationship Type="http://schemas.openxmlformats.org/officeDocument/2006/relationships/custom-properties" Target="/docProps/custom.xml" Id="R8ef6418f10da4bca"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Student Career Success Analysis</w:t>
      </w:r>
    </w:p>
    <w:p w14:paraId="00100002" w14:textId="00100003">
      <w:pPr>
        <w:pStyle w:val="Normal"/>
        <w:spacing w:after="360"/>
        <w:jc w:val="center"/>
      </w:pPr>
      <w:r>
        <w:rPr>
          <w:color w:val="57606A"/>
          <w:sz w:val="26"/>
        </w:rPr>
        <w:t xml:space="preserve">Data Analytics Project — Formal Documentation</w:t>
      </w:r>
    </w:p>
    <w:p w14:paraId="00100004" w14:textId="00100005">
      <w:pPr>
        <w:pStyle w:val="Heading1"/>
        <w:spacing w:before="280" w:after="120"/>
      </w:pPr>
      <w:r>
        <w:rPr>
          <w:b/>
          <w:sz w:val="32"/>
        </w:rPr>
        <w:t xml:space="preserve">1. Problem Statement</w:t>
      </w:r>
    </w:p>
    <w:p w14:paraId="00100006" w14:textId="00100007">
      <w:pPr>
        <w:pStyle w:val="Normal"/>
        <w:spacing w:after="240"/>
      </w:pPr>
      <w:r>
        <w:rPr>
          <w:sz w:val="22"/>
        </w:rPr>
        <w:t xml:space="preserve">Identifying the key drivers of student placement success using academic, skill, and experience data to enable data-driven career decision-making.</w:t>
      </w:r>
    </w:p>
    <w:p w14:paraId="00100008" w14:textId="00100009">
      <w:pPr>
        <w:pStyle w:val="Heading1"/>
        <w:spacing w:before="280" w:after="120"/>
      </w:pPr>
      <w:r>
        <w:rPr>
          <w:b/>
          <w:sz w:val="32"/>
        </w:rPr>
        <w:t xml:space="preserve">2. Dataset Description</w:t>
      </w:r>
    </w:p>
    <w:p w14:paraId="0010000A" w14:textId="0010000B">
      <w:pPr>
        <w:pStyle w:val="Normal"/>
        <w:spacing w:after="160"/>
      </w:pPr>
      <w:r>
        <w:rPr>
          <w:sz w:val="22"/>
        </w:rPr>
        <w:t xml:space="preserve">The dataset contains 50,000 student records collected from university placement cells. It covers five broad categories of student attributes and outcomes:</w:t>
      </w:r>
    </w:p>
    <w:p w14:paraId="0010000C" w14:textId="0010000D">
      <w:pPr>
        <w:pStyle w:val="Normal"/>
        <w:numPr>
          <w:ilvl w:val="0"/>
          <w:numId w:val="1"/>
        </w:numPr>
        <w:spacing w:after="80"/>
      </w:pPr>
      <w:r>
        <w:rPr>
          <w:sz w:val="22"/>
        </w:rPr>
        <w:t xml:space="preserve">Academic Performance: CGPA, Attendance_Percentage, Study_Hours_Per_Week, Academic_Performance</w:t>
      </w:r>
    </w:p>
    <w:p w14:paraId="0010000E" w14:textId="0010000F">
      <w:pPr>
        <w:pStyle w:val="Normal"/>
        <w:numPr>
          <w:ilvl w:val="0"/>
          <w:numId w:val="1"/>
        </w:numPr>
        <w:spacing w:after="80"/>
      </w:pPr>
      <w:r>
        <w:rPr>
          <w:sz w:val="22"/>
        </w:rPr>
        <w:t xml:space="preserve">Technical Skills: Programming_Skill, Projects_Completed, Certifications, Hackathons</w:t>
      </w:r>
    </w:p>
    <w:p w14:paraId="00100010" w14:textId="00100011">
      <w:pPr>
        <w:pStyle w:val="Normal"/>
        <w:numPr>
          <w:ilvl w:val="0"/>
          <w:numId w:val="1"/>
        </w:numPr>
        <w:spacing w:after="80"/>
      </w:pPr>
      <w:r>
        <w:rPr>
          <w:sz w:val="22"/>
        </w:rPr>
        <w:t xml:space="preserve">Professional Experience: Internships, Leadership_Experience, GitHub_Profile, LinkedIn_Profile</w:t>
      </w:r>
    </w:p>
    <w:p w14:paraId="00100012" w14:textId="00100013">
      <w:pPr>
        <w:pStyle w:val="Normal"/>
        <w:numPr>
          <w:ilvl w:val="0"/>
          <w:numId w:val="1"/>
        </w:numPr>
        <w:spacing w:after="80"/>
      </w:pPr>
      <w:r>
        <w:rPr>
          <w:sz w:val="22"/>
        </w:rPr>
        <w:t xml:space="preserve">Soft Skills: Communication_Skills, Teamwork, Problem_Solving, English_Proficiency</w:t>
      </w:r>
    </w:p>
    <w:p w14:paraId="00100014" w14:textId="00100015">
      <w:pPr>
        <w:pStyle w:val="Normal"/>
        <w:numPr>
          <w:ilvl w:val="0"/>
          <w:numId w:val="1"/>
        </w:numPr>
        <w:spacing w:after="200"/>
      </w:pPr>
      <w:r>
        <w:rPr>
          <w:sz w:val="22"/>
        </w:rPr>
        <w:t xml:space="preserve">Placement Outcomes: Placement_Status, Company_Tier, Career_Field, Placement_Mode, Starting_Salary_USD</w:t>
      </w:r>
    </w:p>
    <w:p w14:paraId="00100016" w14:textId="00100017">
      <w:pPr>
        <w:pStyle w:val="Normal"/>
        <w:spacing w:after="240"/>
      </w:pPr>
      <w:r>
        <w:rPr>
          <w:sz w:val="22"/>
        </w:rPr>
        <w:t xml:space="preserve">File: student_career_success_dataset_cleaned.csv  |  Rows: 50,000  |  Columns: 29</w:t>
      </w:r>
    </w:p>
    <w:p w14:paraId="00100018" w14:textId="00100019">
      <w:pPr>
        <w:pStyle w:val="Heading1"/>
        <w:spacing w:before="280" w:after="120"/>
      </w:pPr>
      <w:r>
        <w:rPr>
          <w:b/>
          <w:sz w:val="32"/>
        </w:rPr>
        <w:t xml:space="preserve">3. Steps Used for Analysis</w:t>
      </w:r>
    </w:p>
    <w:p w14:paraId="0010001A" w14:textId="0010001B">
      <w:pPr>
        <w:pStyle w:val="Normal"/>
        <w:numPr>
          <w:ilvl w:val="0"/>
          <w:numId w:val="2"/>
        </w:numPr>
        <w:spacing w:after="80"/>
      </w:pPr>
      <w:r>
        <w:rPr>
          <w:sz w:val="22"/>
        </w:rPr>
        <w:t xml:space="preserve">Step 1 — Collect and load the CSV dataset. Validated shape (50,000 rows × 29 columns), column data types, and null value counts per column.</w:t>
      </w:r>
    </w:p>
    <w:p w14:paraId="0010001C" w14:textId="0010001D">
      <w:pPr>
        <w:pStyle w:val="Normal"/>
        <w:numPr>
          <w:ilvl w:val="0"/>
          <w:numId w:val="2"/>
        </w:numPr>
        <w:spacing w:after="80"/>
      </w:pPr>
      <w:r>
        <w:rPr>
          <w:sz w:val="22"/>
        </w:rPr>
        <w:t xml:space="preserve">Step 2 — Check the data for missing values, duplicate rows, and duplicate Student_IDs. Verified categorical consistency for Placement_Status, Company_Tier, Placement_Mode, Gender, University_Year, GitHub_Profile, and LinkedIn_Profile.</w:t>
      </w:r>
    </w:p>
    <w:p w14:paraId="0010001E" w14:textId="0010001F">
      <w:pPr>
        <w:pStyle w:val="Normal"/>
        <w:numPr>
          <w:ilvl w:val="0"/>
          <w:numId w:val="2"/>
        </w:numPr>
        <w:spacing w:after="80"/>
      </w:pPr>
      <w:r>
        <w:rPr>
          <w:sz w:val="22"/>
        </w:rPr>
        <w:t xml:space="preserve">Step 3 — Validate numeric ranges (CGPA 0–4, Attendance 0–100, Internships 0–10, etc.) and check logical consistency: Not Placed students must have salary = 0, Company_Tier = No Company, and Placement_Mode = Not Applicable.</w:t>
      </w:r>
    </w:p>
    <w:p w14:paraId="00100020" w14:textId="00100021">
      <w:pPr>
        <w:pStyle w:val="Normal"/>
        <w:numPr>
          <w:ilvl w:val="0"/>
          <w:numId w:val="2"/>
        </w:numPr>
        <w:spacing w:after="80"/>
      </w:pPr>
      <w:r>
        <w:rPr>
          <w:sz w:val="22"/>
        </w:rPr>
        <w:t xml:space="preserve">Step 4 — Detect and cap outliers using the IQR method on Study_Hours_Per_Week, CGPA, and Starting_Salary_USD (salary outliers checked on Placed students only, since Not Placed students always have salary = 0).</w:t>
      </w:r>
    </w:p>
    <w:p w14:paraId="00100022" w14:textId="00100023">
      <w:pPr>
        <w:pStyle w:val="Normal"/>
        <w:numPr>
          <w:ilvl w:val="0"/>
          <w:numId w:val="2"/>
        </w:numPr>
        <w:spacing w:after="80"/>
      </w:pPr>
      <w:r>
        <w:rPr>
          <w:sz w:val="22"/>
        </w:rPr>
        <w:t xml:space="preserve">Step 5 — Group and summarize the data: placement rates by Major and University Year, average CGPA and Employability Score by placement outcome, average salary by Company Tier, and placement rates by Internship count, Certification count, and GitHub Profile.</w:t>
      </w:r>
    </w:p>
    <w:p w14:paraId="00100024" w14:textId="00100025">
      <w:pPr>
        <w:pStyle w:val="Normal"/>
        <w:numPr>
          <w:ilvl w:val="0"/>
          <w:numId w:val="2"/>
        </w:numPr>
        <w:spacing w:after="80"/>
      </w:pPr>
      <w:r>
        <w:rPr>
          <w:sz w:val="22"/>
        </w:rPr>
        <w:t xml:space="preserve">Step 6 — Create charts: bar charts, pie charts, box plots, a line-bar combo for internship trends, and a correlation heatmap of all key numeric features.</w:t>
      </w:r>
    </w:p>
    <w:p w14:paraId="00100026" w14:textId="00100027">
      <w:pPr>
        <w:pStyle w:val="Normal"/>
        <w:numPr>
          <w:ilvl w:val="0"/>
          <w:numId w:val="2"/>
        </w:numPr>
        <w:spacing w:after="240"/>
      </w:pPr>
      <w:r>
        <w:rPr>
          <w:sz w:val="22"/>
        </w:rPr>
        <w:t xml:space="preserve">Step 7 — Use the results to generate career-readiness and placement-strategy recommendations for students, faculty, and placement cells.</w:t>
      </w:r>
    </w:p>
    <w:p w14:paraId="00100028" w14:textId="00100029">
      <w:pPr>
        <w:pStyle w:val="Heading1"/>
        <w:spacing w:before="280" w:after="120"/>
      </w:pPr>
      <w:r>
        <w:rPr>
          <w:b/>
          <w:sz w:val="32"/>
        </w:rPr>
        <w:t xml:space="preserve">4. Live Analysis</w:t>
      </w:r>
    </w:p>
    <w:p w14:paraId="0010002A" w14:textId="0010002B">
      <w:pPr>
        <w:pStyle w:val="Normal"/>
        <w:spacing w:after="200"/>
      </w:pPr>
      <w:r>
        <w:rPr>
          <w:sz w:val="22"/>
        </w:rPr>
        <w:t xml:space="preserve">The following section presents key findings as question-and-answer insights derived from the dataset.</w:t>
      </w:r>
    </w:p>
    <w:p w14:paraId="0010002C" w14:textId="0010002D">
      <w:pPr>
        <w:pStyle w:val="Heading2"/>
        <w:spacing w:before="200" w:after="80"/>
      </w:pPr>
      <w:r>
        <w:rPr>
          <w:b/>
          <w:sz w:val="26"/>
        </w:rPr>
        <w:t xml:space="preserve">Q1: What is the overall placement rate?</w:t>
      </w:r>
    </w:p>
    <w:p w14:paraId="0010002E" w14:textId="0010002F">
      <w:pPr>
        <w:pStyle w:val="Normal"/>
        <w:spacing w:after="200"/>
      </w:pPr>
      <w:r>
        <w:rPr>
          <w:sz w:val="22"/>
        </w:rPr>
        <w:t xml:space="preserve">78.08% of students were placed. This means that out of 50,000 student records, approximately 39,040 students were successfully placed in companies.</w:t>
      </w:r>
    </w:p>
    <w:p w14:paraId="0010006E" w14:textId="0010006F">
      <w:pPr>
        <w:spacing w:line="240" w:lineRule="auto"/>
      </w:pPr>
      <w:r>
        <w:rPr/>
        <w:drawing>
          <wp:inline distT="0" distB="0" distL="0" distR="0">
            <wp:extent cx="3960000" cy="3240000"/>
            <wp:effectExtent l="0" t="0" r="0" b="0"/>
            <wp:docPr id="1" name="placement_status_pie.png" descr=""/>
            <wp:cNvGraphicFramePr>
              <a:graphicFrameLocks noChangeAspect="1"/>
            </wp:cNvGraphicFramePr>
            <a:graphic>
              <a:graphicData uri="http://schemas.openxmlformats.org/drawingml/2006/picture">
                <pic:pic>
                  <pic:nvPicPr>
                    <pic:cNvPr id="1" name="placement_status_pie.png"/>
                    <pic:cNvPicPr/>
                  </pic:nvPicPr>
                  <pic:blipFill>
                    <a:blip r:embed="R38cff45c1ebe4cff" cstate="print"/>
                    <a:stretch>
                      <a:fillRect/>
                    </a:stretch>
                  </pic:blipFill>
                  <pic:spPr>
                    <a:xfrm>
                      <a:off x="0" y="0"/>
                      <a:ext cx="3960000" cy="3240000"/>
                    </a:xfrm>
                    <a:prstGeom prst="rect">
                      <a:avLst/>
                    </a:prstGeom>
                  </pic:spPr>
                </pic:pic>
              </a:graphicData>
            </a:graphic>
          </wp:inline>
        </w:drawing>
      </w:r>
    </w:p>
    <w:p w14:paraId="00100030" w14:textId="00100031">
      <w:pPr>
        <w:pStyle w:val="Heading2"/>
        <w:spacing w:before="200" w:after="80"/>
      </w:pPr>
      <w:r>
        <w:rPr>
          <w:b/>
          <w:sz w:val="26"/>
        </w:rPr>
        <w:t xml:space="preserve">Q2: Which major has the highest placement rate?</w:t>
      </w:r>
    </w:p>
    <w:p w14:paraId="00100032" w14:textId="00100033">
      <w:pPr>
        <w:pStyle w:val="Normal"/>
        <w:spacing w:after="200"/>
      </w:pPr>
      <w:r>
        <w:rPr>
          <w:sz w:val="22"/>
        </w:rPr>
        <w:t xml:space="preserve">Artificial Intelligence had the highest placement rate at 86.62%, followed closely by Software Engineering at 86.22%. These two majors consistently produce job-ready graduates, likely because of their close alignment with industry demand for AI, ML, and software development roles.</w:t>
      </w:r>
    </w:p>
    <w:p w14:paraId="00100034" w14:textId="00100035">
      <w:pPr>
        <w:pStyle w:val="Heading2"/>
        <w:spacing w:before="200" w:after="80"/>
      </w:pPr>
      <w:r>
        <w:rPr>
          <w:b/>
          <w:sz w:val="26"/>
        </w:rPr>
        <w:t xml:space="preserve">Q3: Which major has the lowest placement rate?</w:t>
      </w:r>
    </w:p>
    <w:p w14:paraId="00100036" w14:textId="00100037">
      <w:pPr>
        <w:pStyle w:val="Normal"/>
        <w:spacing w:after="200"/>
      </w:pPr>
      <w:r>
        <w:rPr>
          <w:sz w:val="22"/>
        </w:rPr>
        <w:t xml:space="preserve">Business Analytics had the lowest placement rate at 59.05%, followed by Electrical Engineering at 60.20%. These majors may benefit from targeted upskilling support — guided certification tracks and industry project mentorship — to close the placement gap.</w:t>
      </w:r>
    </w:p>
    <w:p w14:paraId="00100070" w14:textId="00100071">
      <w:pPr>
        <w:spacing w:line="240" w:lineRule="auto"/>
      </w:pPr>
      <w:r>
        <w:drawing>
          <wp:inline distT="0" distB="0" distL="0" distR="0">
            <wp:extent cx="5040000" cy="3240000"/>
            <wp:effectExtent l="0" t="0" r="0" b="0"/>
            <wp:docPr id="2" name="placement_by_major.png" descr=""/>
            <wp:cNvGraphicFramePr>
              <a:graphicFrameLocks noChangeAspect="1"/>
            </wp:cNvGraphicFramePr>
            <a:graphic>
              <a:graphicData uri="http://schemas.openxmlformats.org/drawingml/2006/picture">
                <pic:pic>
                  <pic:nvPicPr>
                    <pic:cNvPr id="2" name="placement_by_major.png"/>
                    <pic:cNvPicPr/>
                  </pic:nvPicPr>
                  <pic:blipFill>
                    <a:blip r:embed="R1ca07a6bb4914bea" cstate="print"/>
                    <a:stretch>
                      <a:fillRect/>
                    </a:stretch>
                  </pic:blipFill>
                  <pic:spPr>
                    <a:xfrm>
                      <a:off x="0" y="0"/>
                      <a:ext cx="5040000" cy="3240000"/>
                    </a:xfrm>
                    <a:prstGeom prst="rect">
                      <a:avLst/>
                    </a:prstGeom>
                  </pic:spPr>
                </pic:pic>
              </a:graphicData>
            </a:graphic>
          </wp:inline>
        </w:drawing>
      </w:r>
    </w:p>
    <w:p w14:paraId="00100038" w14:textId="00100039">
      <w:pPr>
        <w:pStyle w:val="Heading2"/>
        <w:spacing w:before="200" w:after="80"/>
      </w:pPr>
      <w:r>
        <w:rPr>
          <w:b/>
          <w:sz w:val="26"/>
        </w:rPr>
        <w:t xml:space="preserve">Q4: Which career field do most placed students enter?</w:t>
      </w:r>
    </w:p>
    <w:p w14:paraId="0010003A" w14:textId="0010003B">
      <w:pPr>
        <w:pStyle w:val="Normal"/>
        <w:spacing w:after="200"/>
      </w:pPr>
      <w:r>
        <w:rPr>
          <w:sz w:val="22"/>
        </w:rPr>
        <w:t xml:space="preserve">Software Engineer was the most common career field, with 6,544 placed students. This was followed by Data Scientist (3,845) and AI Engineer (3,792), reflecting a strong industry demand for technology-focused roles.</w:t>
      </w:r>
    </w:p>
    <w:p w14:paraId="0010003C" w14:textId="0010003D">
      <w:pPr>
        <w:pStyle w:val="Heading2"/>
        <w:spacing w:before="200" w:after="80"/>
      </w:pPr>
      <w:r>
        <w:rPr>
          <w:b/>
          <w:sz w:val="26"/>
        </w:rPr>
        <w:t xml:space="preserve">Q5: What is the most common placement mode?</w:t>
      </w:r>
    </w:p>
    <w:p w14:paraId="0010003E" w14:textId="0010003F">
      <w:pPr>
        <w:pStyle w:val="Normal"/>
        <w:spacing w:after="200"/>
      </w:pPr>
      <w:r>
        <w:rPr>
          <w:sz w:val="22"/>
        </w:rPr>
        <w:t xml:space="preserve">Campus Placement was the most common route, accounting for 19,619 placements. This highlights the continued importance of maintaining strong industry-university relationships and an active campus recruitment programme.</w:t>
      </w:r>
    </w:p>
    <w:p w14:paraId="00100072" w14:textId="00100073">
      <w:pPr>
        <w:spacing w:line="240" w:lineRule="auto"/>
      </w:pPr>
      <w:r>
        <w:drawing>
          <wp:inline distT="0" distB="0" distL="0" distR="0">
            <wp:extent cx="3960000" cy="3240000"/>
            <wp:effectExtent l="0" t="0" r="0" b="0"/>
            <wp:docPr id="3" name="placement_mode_pie.png" descr=""/>
            <wp:cNvGraphicFramePr>
              <a:graphicFrameLocks noChangeAspect="1"/>
            </wp:cNvGraphicFramePr>
            <a:graphic>
              <a:graphicData uri="http://schemas.openxmlformats.org/drawingml/2006/picture">
                <pic:pic>
                  <pic:nvPicPr>
                    <pic:cNvPr id="3" name="placement_mode_pie.png"/>
                    <pic:cNvPicPr/>
                  </pic:nvPicPr>
                  <pic:blipFill>
                    <a:blip r:embed="R822d6e1f116741ce" cstate="print"/>
                    <a:stretch>
                      <a:fillRect/>
                    </a:stretch>
                  </pic:blipFill>
                  <pic:spPr>
                    <a:xfrm>
                      <a:off x="0" y="0"/>
                      <a:ext cx="3960000" cy="3240000"/>
                    </a:xfrm>
                    <a:prstGeom prst="rect">
                      <a:avLst/>
                    </a:prstGeom>
                  </pic:spPr>
                </pic:pic>
              </a:graphicData>
            </a:graphic>
          </wp:inline>
        </w:drawing>
      </w:r>
    </w:p>
    <w:p w14:paraId="00100040" w14:textId="00100041">
      <w:pPr>
        <w:pStyle w:val="Heading2"/>
        <w:spacing w:before="200" w:after="80"/>
      </w:pPr>
      <w:r>
        <w:rPr>
          <w:b/>
          <w:sz w:val="26"/>
        </w:rPr>
        <w:t xml:space="preserve">Q6: Does having a GitHub profile improve placement chances?</w:t>
      </w:r>
    </w:p>
    <w:p w14:paraId="00100042" w14:textId="00100043">
      <w:pPr>
        <w:pStyle w:val="Normal"/>
        <w:spacing w:after="200"/>
      </w:pPr>
      <w:r>
        <w:rPr>
          <w:sz w:val="22"/>
        </w:rPr>
        <w:t xml:space="preserve">Yes. Students with a GitHub profile had a placement rate of 80.13%, compared to 69.14% for those without one — a difference of nearly 11 percentage points. A visible GitHub portfolio demonstrates practical coding ability and project experience to recruiters.</w:t>
      </w:r>
    </w:p>
    <w:p w14:paraId="00100074" w14:textId="00100075">
      <w:pPr>
        <w:spacing w:line="240" w:lineRule="auto"/>
      </w:pPr>
      <w:r>
        <w:drawing>
          <wp:inline distT="0" distB="0" distL="0" distR="0">
            <wp:extent cx="3600000" cy="2880000"/>
            <wp:effectExtent l="0" t="0" r="0" b="0"/>
            <wp:docPr id="4" name="placement_by_github.png" descr=""/>
            <wp:cNvGraphicFramePr>
              <a:graphicFrameLocks noChangeAspect="1"/>
            </wp:cNvGraphicFramePr>
            <a:graphic>
              <a:graphicData uri="http://schemas.openxmlformats.org/drawingml/2006/picture">
                <pic:pic>
                  <pic:nvPicPr>
                    <pic:cNvPr id="4" name="placement_by_github.png"/>
                    <pic:cNvPicPr/>
                  </pic:nvPicPr>
                  <pic:blipFill>
                    <a:blip r:embed="Rfdbad732834343ed" cstate="print"/>
                    <a:stretch>
                      <a:fillRect/>
                    </a:stretch>
                  </pic:blipFill>
                  <pic:spPr>
                    <a:xfrm>
                      <a:off x="0" y="0"/>
                      <a:ext cx="3600000" cy="2880000"/>
                    </a:xfrm>
                    <a:prstGeom prst="rect">
                      <a:avLst/>
                    </a:prstGeom>
                  </pic:spPr>
                </pic:pic>
              </a:graphicData>
            </a:graphic>
          </wp:inline>
        </w:drawing>
      </w:r>
    </w:p>
    <w:p w14:paraId="00100044" w14:textId="00100045">
      <w:pPr>
        <w:pStyle w:val="Heading2"/>
        <w:spacing w:before="200" w:after="80"/>
      </w:pPr>
      <w:r>
        <w:rPr>
          <w:b/>
          <w:sz w:val="26"/>
        </w:rPr>
        <w:t xml:space="preserve">Q7: How many internships are typically needed to get placed?</w:t>
      </w:r>
    </w:p>
    <w:p w14:paraId="00100046" w14:textId="00100047">
      <w:pPr>
        <w:pStyle w:val="Normal"/>
        <w:spacing w:after="200"/>
      </w:pPr>
      <w:r>
        <w:rPr>
          <w:sz w:val="22"/>
        </w:rPr>
        <w:t xml:space="preserve">Internship count shows the strongest relationship with placement rate of any single variable. Placement rate rises sharply: 6.78% with 0 internships, 40.73% with 2 internships, and 91.87% with 5 internships. This makes internship facilitation the single highest-impact intervention for placement cells.</w:t>
      </w:r>
    </w:p>
    <w:p w14:paraId="00100076" w14:textId="00100077">
      <w:pPr>
        <w:spacing w:line="240" w:lineRule="auto"/>
      </w:pPr>
      <w:r>
        <w:drawing>
          <wp:inline distT="0" distB="0" distL="0" distR="0">
            <wp:extent cx="5040000" cy="3240000"/>
            <wp:effectExtent l="0" t="0" r="0" b="0"/>
            <wp:docPr id="5" name="placement_by_internships.png" descr=""/>
            <wp:cNvGraphicFramePr>
              <a:graphicFrameLocks noChangeAspect="1"/>
            </wp:cNvGraphicFramePr>
            <a:graphic>
              <a:graphicData uri="http://schemas.openxmlformats.org/drawingml/2006/picture">
                <pic:pic>
                  <pic:nvPicPr>
                    <pic:cNvPr id="5" name="placement_by_internships.png"/>
                    <pic:cNvPicPr/>
                  </pic:nvPicPr>
                  <pic:blipFill>
                    <a:blip r:embed="Rdc7e0465a48640dc" cstate="print"/>
                    <a:stretch>
                      <a:fillRect/>
                    </a:stretch>
                  </pic:blipFill>
                  <pic:spPr>
                    <a:xfrm>
                      <a:off x="0" y="0"/>
                      <a:ext cx="5040000" cy="3240000"/>
                    </a:xfrm>
                    <a:prstGeom prst="rect">
                      <a:avLst/>
                    </a:prstGeom>
                  </pic:spPr>
                </pic:pic>
              </a:graphicData>
            </a:graphic>
          </wp:inline>
        </w:drawing>
      </w:r>
    </w:p>
    <w:p w14:paraId="00100048" w14:textId="00100049">
      <w:pPr>
        <w:pStyle w:val="Heading2"/>
        <w:spacing w:before="200" w:after="80"/>
      </w:pPr>
      <w:r>
        <w:rPr>
          <w:b/>
          <w:sz w:val="26"/>
        </w:rPr>
        <w:t xml:space="preserve">Q8: Do placed students have a higher CGPA than students who are not placed?</w:t>
      </w:r>
    </w:p>
    <w:p w14:paraId="0010004A" w14:textId="0010004B">
      <w:pPr>
        <w:pStyle w:val="Normal"/>
        <w:spacing w:after="200"/>
      </w:pPr>
      <w:r>
        <w:rPr>
          <w:sz w:val="22"/>
        </w:rPr>
        <w:t xml:space="preserve">Yes. Placed students had an average CGPA of 3.15, compared to 2.96 for students who were not placed. While CGPA alone does not guarantee placement, maintaining a strong academic record remains a meaningful signal to employers.</w:t>
      </w:r>
    </w:p>
    <w:p w14:paraId="00100078" w14:textId="00100079">
      <w:pPr>
        <w:spacing w:line="240" w:lineRule="auto"/>
      </w:pPr>
      <w:r>
        <w:drawing>
          <wp:inline distT="0" distB="0" distL="0" distR="0">
            <wp:extent cx="3600000" cy="2880000"/>
            <wp:effectExtent l="0" t="0" r="0" b="0"/>
            <wp:docPr id="6" name="cgpa_placed_vs_not.png" descr=""/>
            <wp:cNvGraphicFramePr>
              <a:graphicFrameLocks noChangeAspect="1"/>
            </wp:cNvGraphicFramePr>
            <a:graphic>
              <a:graphicData uri="http://schemas.openxmlformats.org/drawingml/2006/picture">
                <pic:pic>
                  <pic:nvPicPr>
                    <pic:cNvPr id="6" name="cgpa_placed_vs_not.png"/>
                    <pic:cNvPicPr/>
                  </pic:nvPicPr>
                  <pic:blipFill>
                    <a:blip r:embed="R5879b745170b49d9" cstate="print"/>
                    <a:stretch>
                      <a:fillRect/>
                    </a:stretch>
                  </pic:blipFill>
                  <pic:spPr>
                    <a:xfrm>
                      <a:off x="0" y="0"/>
                      <a:ext cx="3600000" cy="2880000"/>
                    </a:xfrm>
                    <a:prstGeom prst="rect">
                      <a:avLst/>
                    </a:prstGeom>
                  </pic:spPr>
                </pic:pic>
              </a:graphicData>
            </a:graphic>
          </wp:inline>
        </w:drawing>
      </w:r>
    </w:p>
    <w:p w14:paraId="0010004C" w14:textId="0010004D">
      <w:pPr>
        <w:pStyle w:val="Heading2"/>
        <w:spacing w:before="200" w:after="80"/>
      </w:pPr>
      <w:r>
        <w:rPr>
          <w:b/>
          <w:sz w:val="26"/>
        </w:rPr>
        <w:t xml:space="preserve">Q9: Do placed students have a higher Employability Score?</w:t>
      </w:r>
    </w:p>
    <w:p w14:paraId="0010004E" w14:textId="0010004F">
      <w:pPr>
        <w:pStyle w:val="Normal"/>
        <w:spacing w:after="200"/>
      </w:pPr>
      <w:r>
        <w:rPr>
          <w:sz w:val="22"/>
        </w:rPr>
        <w:t xml:space="preserve">Yes. Placed students averaged an Employability Score of 220.71, compared to 190.06 for students not placed — a gap of over 30 points. The Employability Score is a composite measure that captures a student's overall readiness for the workforce.</w:t>
      </w:r>
    </w:p>
    <w:p w14:paraId="0010007A" w14:textId="0010007B">
      <w:pPr>
        <w:spacing w:line="240" w:lineRule="auto"/>
      </w:pPr>
      <w:r>
        <w:drawing>
          <wp:inline distT="0" distB="0" distL="0" distR="0">
            <wp:extent cx="3600000" cy="2880000"/>
            <wp:effectExtent l="0" t="0" r="0" b="0"/>
            <wp:docPr id="7" name="emp_score_boxplot.png" descr=""/>
            <wp:cNvGraphicFramePr>
              <a:graphicFrameLocks noChangeAspect="1"/>
            </wp:cNvGraphicFramePr>
            <a:graphic>
              <a:graphicData uri="http://schemas.openxmlformats.org/drawingml/2006/picture">
                <pic:pic>
                  <pic:nvPicPr>
                    <pic:cNvPr id="7" name="emp_score_boxplot.png"/>
                    <pic:cNvPicPr/>
                  </pic:nvPicPr>
                  <pic:blipFill>
                    <a:blip r:embed="R41278f53ce164ed7" cstate="print"/>
                    <a:stretch>
                      <a:fillRect/>
                    </a:stretch>
                  </pic:blipFill>
                  <pic:spPr>
                    <a:xfrm>
                      <a:off x="0" y="0"/>
                      <a:ext cx="3600000" cy="2880000"/>
                    </a:xfrm>
                    <a:prstGeom prst="rect">
                      <a:avLst/>
                    </a:prstGeom>
                  </pic:spPr>
                </pic:pic>
              </a:graphicData>
            </a:graphic>
          </wp:inline>
        </w:drawing>
      </w:r>
    </w:p>
    <w:p w14:paraId="00100050" w14:textId="00100051">
      <w:pPr>
        <w:pStyle w:val="Heading2"/>
        <w:spacing w:before="200" w:after="80"/>
      </w:pPr>
      <w:r>
        <w:rPr>
          <w:b/>
          <w:sz w:val="26"/>
        </w:rPr>
        <w:t xml:space="preserve">Q10: Which company tier pays the highest starting salary?</w:t>
      </w:r>
    </w:p>
    <w:p w14:paraId="00100052" w14:textId="00100053">
      <w:pPr>
        <w:pStyle w:val="Normal"/>
        <w:spacing w:after="200"/>
      </w:pPr>
      <w:r>
        <w:rPr>
          <w:sz w:val="22"/>
        </w:rPr>
        <w:t xml:space="preserve">Tier 1 companies offered the highest average starting salary at $90,011, compared to $57,500 for Tier 2 and $46,958 for Tier 3. The salary gap between Tier 1 and Tier 3 is nearly double, making Tier 1 recruitment pathways a significant career aspiration for students.</w:t>
      </w:r>
    </w:p>
    <w:p w14:paraId="0010007C" w14:textId="0010007D">
      <w:pPr>
        <w:spacing w:line="240" w:lineRule="auto"/>
      </w:pPr>
      <w:r>
        <w:drawing>
          <wp:inline distT="0" distB="0" distL="0" distR="0">
            <wp:extent cx="4320000" cy="2880000"/>
            <wp:effectExtent l="0" t="0" r="0" b="0"/>
            <wp:docPr id="8" name="salary_by_tier.png" descr=""/>
            <wp:cNvGraphicFramePr>
              <a:graphicFrameLocks noChangeAspect="1"/>
            </wp:cNvGraphicFramePr>
            <a:graphic>
              <a:graphicData uri="http://schemas.openxmlformats.org/drawingml/2006/picture">
                <pic:pic>
                  <pic:nvPicPr>
                    <pic:cNvPr id="8" name="salary_by_tier.png"/>
                    <pic:cNvPicPr/>
                  </pic:nvPicPr>
                  <pic:blipFill>
                    <a:blip r:embed="R1e0c120a415d46d8" cstate="print"/>
                    <a:stretch>
                      <a:fillRect/>
                    </a:stretch>
                  </pic:blipFill>
                  <pic:spPr>
                    <a:xfrm>
                      <a:off x="0" y="0"/>
                      <a:ext cx="4320000" cy="2880000"/>
                    </a:xfrm>
                    <a:prstGeom prst="rect">
                      <a:avLst/>
                    </a:prstGeom>
                  </pic:spPr>
                </pic:pic>
              </a:graphicData>
            </a:graphic>
          </wp:inline>
        </w:drawing>
      </w:r>
    </w:p>
    <w:p w14:paraId="00100054" w14:textId="00100055">
      <w:pPr>
        <w:pStyle w:val="Heading2"/>
        <w:spacing w:before="200" w:after="80"/>
      </w:pPr>
      <w:r>
        <w:rPr>
          <w:b/>
          <w:sz w:val="26"/>
        </w:rPr>
        <w:t xml:space="preserve">Q11: Which major earns the highest average starting salary among placed students?</w:t>
      </w:r>
    </w:p>
    <w:p w14:paraId="00100056" w14:textId="00100057">
      <w:pPr>
        <w:pStyle w:val="Normal"/>
        <w:spacing w:after="240"/>
      </w:pPr>
      <w:r>
        <w:rPr>
          <w:sz w:val="22"/>
        </w:rPr>
        <w:t xml:space="preserve">Artificial Intelligence graduates earned the highest average starting salary at $89,536, closely followed by Software Engineering at $89,360. Both majors combine a high placement rate with premium salaries, making them the strongest-performing academic programmes in this dataset.</w:t>
      </w:r>
    </w:p>
    <w:p w14:paraId="0010007E" w14:textId="0010007F">
      <w:pPr>
        <w:spacing w:line="240" w:lineRule="auto"/>
      </w:pPr>
      <w:r>
        <w:drawing>
          <wp:inline distT="0" distB="0" distL="0" distR="0">
            <wp:extent cx="5400000" cy="3960000"/>
            <wp:effectExtent l="0" t="0" r="0" b="0"/>
            <wp:docPr id="9" name="correlation_heatmap.png" descr=""/>
            <wp:cNvGraphicFramePr>
              <a:graphicFrameLocks noChangeAspect="1"/>
            </wp:cNvGraphicFramePr>
            <a:graphic>
              <a:graphicData uri="http://schemas.openxmlformats.org/drawingml/2006/picture">
                <pic:pic>
                  <pic:nvPicPr>
                    <pic:cNvPr id="9" name="correlation_heatmap.png"/>
                    <pic:cNvPicPr/>
                  </pic:nvPicPr>
                  <pic:blipFill>
                    <a:blip r:embed="Rda7a9c146b6d49fd" cstate="print"/>
                    <a:stretch>
                      <a:fillRect/>
                    </a:stretch>
                  </pic:blipFill>
                  <pic:spPr>
                    <a:xfrm>
                      <a:off x="0" y="0"/>
                      <a:ext cx="5400000" cy="3960000"/>
                    </a:xfrm>
                    <a:prstGeom prst="rect">
                      <a:avLst/>
                    </a:prstGeom>
                  </pic:spPr>
                </pic:pic>
              </a:graphicData>
            </a:graphic>
          </wp:inline>
        </w:drawing>
      </w:r>
    </w:p>
    <w:p w14:paraId="00100058" w14:textId="00100059">
      <w:pPr>
        <w:pStyle w:val="Heading1"/>
        <w:spacing w:before="280" w:after="120"/>
      </w:pPr>
      <w:r>
        <w:rPr>
          <w:b/>
          <w:sz w:val="32"/>
        </w:rPr>
        <w:t xml:space="preserve">5. Career &amp; Institutional Decisions / Recommendations</w:t>
      </w:r>
    </w:p>
    <w:p w14:paraId="0010005A" w14:textId="0010005B">
      <w:pPr>
        <w:pStyle w:val="Normal"/>
        <w:spacing w:after="160"/>
      </w:pPr>
      <w:r>
        <w:rPr>
          <w:sz w:val="22"/>
        </w:rPr>
        <w:t xml:space="preserve">Placement cells should prioritize internship placement support, since internship count shows the strongest relationship with placement outcomes. Students in lower-placement majors (Business Analytics, Electrical Engineering) should be given targeted upskilling support, such as guided certification tracks and project mentorship.</w:t>
      </w:r>
    </w:p>
    <w:p w14:paraId="0010005C" w14:textId="0010005D">
      <w:pPr>
        <w:pStyle w:val="Normal"/>
        <w:spacing w:after="160"/>
      </w:pPr>
      <w:r>
        <w:rPr>
          <w:sz w:val="22"/>
        </w:rPr>
        <w:t xml:space="preserve">Building a visible GitHub and LinkedIn presence should be actively encouraged early in a student's academic journey, since it correlates with a meaningfully higher placement rate. Career counselling should also highlight Tier 1 recruitment pathways, given the significant salary gap compared to Tier 2 and Tier 3 outcomes.</w:t>
      </w:r>
    </w:p>
    <w:p w14:paraId="0010005E" w14:textId="0010005F">
      <w:pPr>
        <w:pStyle w:val="Normal"/>
        <w:spacing w:after="240"/>
      </w:pPr>
      <w:r>
        <w:rPr>
          <w:sz w:val="22"/>
        </w:rPr>
        <w:t xml:space="preserve">Artificial Intelligence and Software Engineering programmes consistently produce the best outcomes across both placement rate and starting salary and should be highlighted in career orientation sessions as model pathways for prospective students.</w:t>
      </w:r>
    </w:p>
    <w:p w14:paraId="00100060" w14:textId="00100061">
      <w:pPr>
        <w:pStyle w:val="Heading1"/>
        <w:spacing w:before="280" w:after="120"/>
      </w:pPr>
      <w:r>
        <w:rPr>
          <w:b/>
          <w:sz w:val="32"/>
        </w:rPr>
        <w:t xml:space="preserve">6. Conclusion</w:t>
      </w:r>
    </w:p>
    <w:p w14:paraId="00100062" w14:textId="00100063">
      <w:pPr>
        <w:pStyle w:val="Normal"/>
        <w:spacing w:after="160"/>
      </w:pPr>
      <w:r>
        <w:rPr>
          <w:sz w:val="22"/>
        </w:rPr>
        <w:t xml:space="preserve">This analysis shows how student academic, skill, and experience data can be converted into actionable insights that help students, faculty, and placement cells understand what drives career readiness and make better, evidence-based decisions to improve placement outcomes.</w:t>
      </w:r>
    </w:p>
    <w:p w14:paraId="00100064" w14:textId="00100065">
      <w:pPr>
        <w:pStyle w:val="Normal"/>
        <w:spacing w:after="160"/>
      </w:pPr>
      <w:r>
        <w:rPr>
          <w:sz w:val="22"/>
        </w:rPr>
        <w:t xml:space="preserve">The data confirms that no single factor determines placement success. Instead, a combination of academic performance (CGPA), practical experience (internships), a visible professional profile (GitHub), and strong employability signals (Interview Score, Communication Skills) together form the profile of a successfully placed graduate.</w:t>
      </w:r>
    </w:p>
    <w:p w14:paraId="00100066" w14:textId="00100067">
      <w:pPr>
        <w:pStyle w:val="Normal"/>
        <w:spacing w:after="480"/>
      </w:pPr>
      <w:r>
        <w:rPr>
          <w:sz w:val="22"/>
        </w:rPr>
        <w:t xml:space="preserve">By investing in internship facilitation, professional profile building, and targeted support for at-risk major groups, institutions can meaningfully improve placement rates — translating student potential into career success.</w:t>
      </w:r>
    </w:p>
    <w:p w14:paraId="00100068" w14:textId="00100069">
      <w:pPr>
        <w:pStyle w:val="Normal"/>
        <w:spacing w:after="80"/>
        <w:jc w:val="center"/>
      </w:pPr>
      <w:r>
        <w:rPr>
          <w:color w:val="57606A"/>
          <w:sz w:val="22"/>
        </w:rPr>
        <w:t xml:space="preserve">—</w:t>
      </w:r>
    </w:p>
    <w:p w14:paraId="0010006A" w14:textId="0010006B">
      <w:pPr>
        <w:pStyle w:val="Normal"/>
        <w:spacing w:after="80"/>
        <w:jc w:val="center"/>
      </w:pPr>
      <w:r>
        <w:rPr>
          <w:color w:val="57606A"/>
          <w:sz w:val="20"/>
        </w:rPr>
        <w:t xml:space="preserve">PlacementIQ — Student Career Success Analysis | Data Analytics Project</w:t>
      </w:r>
    </w:p>
    <w:p w14:paraId="0010006C" w14:textId="0010006D">
      <w:pPr>
        <w:pStyle w:val="Normal"/>
        <w:spacing w:after="80"/>
        <w:jc w:val="center"/>
      </w:pPr>
      <w:r>
        <w:rPr>
          <w:color w:val="57606A"/>
          <w:sz w:val="20"/>
        </w:rPr>
        <w:t xml:space="preserve">Dataset: 50,000 student records | student_career_success_dataset_cleaned.csv</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c0dbd087d34d41c8" /><Relationship Type="http://schemas.openxmlformats.org/officeDocument/2006/relationships/styles" Target="/word/styles.xml" Id="R34a4354b3a144e9c" /><Relationship Type="http://schemas.openxmlformats.org/officeDocument/2006/relationships/theme" Target="/word/theme/theme1.xml" Id="R15aedb43e5b742bd" /><Relationship Type="http://schemas.openxmlformats.org/officeDocument/2006/relationships/numbering" Target="/word/numbering.xml" Id="R63bbdf3d895c4752" /><Relationship Type="http://schemas.openxmlformats.org/officeDocument/2006/relationships/image" Target="/media/image.png" Id="R38cff45c1ebe4cff" /><Relationship Type="http://schemas.openxmlformats.org/officeDocument/2006/relationships/image" Target="/media/image2.png" Id="R1ca07a6bb4914bea" /><Relationship Type="http://schemas.openxmlformats.org/officeDocument/2006/relationships/image" Target="/media/image3.png" Id="R822d6e1f116741ce" /><Relationship Type="http://schemas.openxmlformats.org/officeDocument/2006/relationships/image" Target="/media/image4.png" Id="Rfdbad732834343ed" /><Relationship Type="http://schemas.openxmlformats.org/officeDocument/2006/relationships/image" Target="/media/image5.png" Id="Rdc7e0465a48640dc" /><Relationship Type="http://schemas.openxmlformats.org/officeDocument/2006/relationships/image" Target="/media/image6.png" Id="R5879b745170b49d9" /><Relationship Type="http://schemas.openxmlformats.org/officeDocument/2006/relationships/image" Target="/media/image7.png" Id="R41278f53ce164ed7" /><Relationship Type="http://schemas.openxmlformats.org/officeDocument/2006/relationships/image" Target="/media/image8.png" Id="R1e0c120a415d46d8" /><Relationship Type="http://schemas.openxmlformats.org/officeDocument/2006/relationships/image" Target="/media/image9.png" Id="Rda7a9c146b6d49f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2026-09-22T11:01:22Z</dcterms:created>
  <cp:lastModifiedBy>OfficeCLI</cp:lastModifiedBy>
  <dcterms:modified xsi:type="dcterms:W3CDTF">2026-09-22T11:01:22Z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2026-09-22T11:48:10Z</vt:lpwstr>
  </op:property>
</op:Properties>
</file>