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0B5394"/>
          <w:sz w:val="52"/>
          <w:szCs w:val="52"/>
        </w:rPr>
        <w:t xml:space="preserve">INDIA SALES PERFORMANCE</w:t>
      </w:r>
    </w:p>
    <w:p>
      <w:pPr>
        <w:spacing w:after="400"/>
        <w:jc w:val="center"/>
      </w:pPr>
      <w:r>
        <w:rPr>
          <w:color w:val="1F77B4"/>
          <w:sz w:val="32"/>
          <w:szCs w:val="32"/>
        </w:rPr>
        <w:t xml:space="preserve">Analysis &amp; Dashboard Report</w:t>
      </w:r>
    </w:p>
    <w:p>
      <w:pPr>
        <w:spacing w:before="800"/>
        <w:jc w:val="center"/>
      </w:pPr>
      <w:r>
        <w:rPr>
          <w:b/>
          <w:bCs/>
          <w:sz w:val="24"/>
          <w:szCs w:val="24"/>
        </w:rPr>
        <w:t xml:space="preserve">Prepared by: Neha Bhatt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Business Analyst | Data Analytics Portfolio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Nadiad, Gujarat, India</w:t>
      </w:r>
    </w:p>
    <w:p>
      <w:pPr>
        <w:spacing w:before="200"/>
        <w:jc w:val="center"/>
      </w:pPr>
      <w:r>
        <w:rPr>
          <w:i/>
          <w:iCs/>
          <w:color w:val="595959"/>
          <w:sz w:val="18"/>
          <w:szCs w:val="18"/>
        </w:rPr>
        <w:t xml:space="preserve">Dataset: India Sales Dataset (10,000 records)</w:t>
      </w: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Dashboard Tool: Tableau  |  Period: January 2023 – January 2024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B5394"/>
        </w:rPr>
        <w:t xml:space="preserve">1. Executive Summary</w:t>
      </w:r>
    </w:p>
    <w:p>
      <w:pPr>
        <w:spacing w:after="150"/>
      </w:pPr>
      <w:r>
        <w:rPr>
          <w:sz w:val="22"/>
          <w:szCs w:val="22"/>
        </w:rPr>
        <w:t xml:space="preserve">This report presents an analysis of India's sales performance for FY2023, based on a transactional dataset of 10,000 orders spanning four regions, eight states, and three product categories. The accompanying Tableau dashboard (Sales Performance Dashboard-India) visualizes sales, profit, quantity, and regional/product trends to support data-driven business decisions.</w:t>
      </w:r>
    </w:p>
    <w:p>
      <w:pPr>
        <w:spacing w:after="150"/>
      </w:pPr>
      <w:r>
        <w:rPr>
          <w:sz w:val="22"/>
          <w:szCs w:val="22"/>
        </w:rPr>
        <w:t xml:space="preserve">Key headline figures for the period:</w:t>
      </w:r>
    </w:p>
    <w:p>
      <w:pPr>
        <w:spacing w:after="200"/>
        <w:jc w:val="center"/>
      </w:pPr>
      <w:r>
        <w:drawing>
          <wp:inline distT="0" distB="0" distL="0" distR="0">
            <wp:extent cx="5715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 Sales: ₹10.30 Crore (₹102,969,416.73) across 10,000 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 Profit: ₹1.79 Crore (₹17,894,155.21)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Total Quantity Sold: 54,867 units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Overall Profit Margin: 17.38%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Average Order Value: ₹10,296.94</w:t>
      </w:r>
    </w:p>
    <w:p>
      <w:pPr>
        <w:pStyle w:val="Heading1"/>
        <w:spacing w:after="150" w:before="300"/>
      </w:pPr>
      <w:r>
        <w:rPr>
          <w:b/>
          <w:bCs/>
          <w:color w:val="0B5394"/>
        </w:rPr>
        <w:t xml:space="preserve">2. About the Dataset</w:t>
      </w:r>
    </w:p>
    <w:p>
      <w:pPr>
        <w:spacing w:after="150"/>
      </w:pPr>
      <w:r>
        <w:rPr>
          <w:sz w:val="22"/>
          <w:szCs w:val="22"/>
        </w:rPr>
        <w:t xml:space="preserve">The source dataset, India_Sales_Dataset_10000_Rows.xlsx, contains 10,000 order-level records with the following fields: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0B539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70%"/>
            <w:shd w:fill="0B539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shd w:fill="F2F6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ID</w:t>
            </w:r>
          </w:p>
        </w:tc>
        <w:tc>
          <w:tcPr>
            <w:tcW w:type="pct" w:w="70%"/>
            <w:shd w:fill="F2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each transaction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Date</w:t>
            </w:r>
          </w:p>
        </w:tc>
        <w:tc>
          <w:tcPr>
            <w:tcW w:type="pct" w:w="70%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of sale (Jan 2023 – Jan 2024)</w:t>
            </w:r>
          </w:p>
        </w:tc>
      </w:tr>
      <w:tr>
        <w:tc>
          <w:tcPr>
            <w:tcW w:type="pct" w:w="30%"/>
            <w:shd w:fill="F2F6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/ Region</w:t>
            </w:r>
          </w:p>
        </w:tc>
        <w:tc>
          <w:tcPr>
            <w:tcW w:type="pct" w:w="70%"/>
            <w:shd w:fill="F2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Location of sale (8 states across 4 regions: North, South, East, West)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/ Sub-Category</w:t>
            </w:r>
          </w:p>
        </w:tc>
        <w:tc>
          <w:tcPr>
            <w:tcW w:type="pct" w:w="70%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classification (3 categories, 9 sub-categories)</w:t>
            </w:r>
          </w:p>
        </w:tc>
      </w:tr>
      <w:tr>
        <w:tc>
          <w:tcPr>
            <w:tcW w:type="pct" w:w="30%"/>
            <w:shd w:fill="F2F6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pct" w:w="70%"/>
            <w:shd w:fill="F2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generated per order (₹)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pct" w:w="70%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Units sold per order</w:t>
            </w:r>
          </w:p>
        </w:tc>
      </w:tr>
      <w:tr>
        <w:tc>
          <w:tcPr>
            <w:tcW w:type="pct" w:w="30%"/>
            <w:shd w:fill="F2F6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Profit</w:t>
            </w:r>
          </w:p>
        </w:tc>
        <w:tc>
          <w:tcPr>
            <w:tcW w:type="pct" w:w="70%"/>
            <w:shd w:fill="F2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Profit earned per order (₹)</w:t>
            </w:r>
          </w:p>
        </w:tc>
      </w:tr>
    </w:tbl>
    <w:p>
      <w:pPr>
        <w:spacing w:after="150"/>
      </w:pPr>
      <w:r>
        <w:rPr>
          <w:i/>
          <w:iCs/>
          <w:color w:val="595959"/>
          <w:sz w:val="22"/>
          <w:szCs w:val="22"/>
        </w:rPr>
        <w:t xml:space="preserve">No missing values were found in any column; the dataset was clean and required no imputation before analysis.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B5394"/>
        </w:rPr>
        <w:t xml:space="preserve">3. Dashboard Overview</w:t>
      </w:r>
    </w:p>
    <w:p>
      <w:pPr>
        <w:spacing w:after="150"/>
      </w:pPr>
      <w:r>
        <w:rPr>
          <w:sz w:val="22"/>
          <w:szCs w:val="22"/>
        </w:rPr>
        <w:t xml:space="preserve">The Tableau dashboard "Sales Performance Dashboard-India" (Sales_performance_Dashboard-India.twbx) brings together four KPI cards, three comparative charts, a geographic map, and an interactive filter panel: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KPI Cards: Total Sales, Total Profit, Total Quantity, Profit Margin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Region Performance: horizontal bar chart of Sales by Region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Product Analysis: horizontal bar chart of Sales by Sub-Category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Sales Trend Over Time: line chart of monthly Sales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Map View: geographic distribution of Sales by State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Filters: interactive controls for Region, Category and Order Date</w:t>
      </w:r>
    </w:p>
    <w:p>
      <w:pPr>
        <w:spacing w:after="150"/>
      </w:pPr>
      <w:r>
        <w:rPr>
          <w:sz w:val="22"/>
          <w:szCs w:val="22"/>
        </w:rPr>
        <w:t xml:space="preserve">The charts below are rebuilt directly from the underlying dataset to mirror each dashboard panel and support this written analysis.</w:t>
      </w:r>
    </w:p>
    <w:p>
      <w:pPr>
        <w:pStyle w:val="Heading1"/>
        <w:spacing w:after="150" w:before="300"/>
      </w:pPr>
      <w:r>
        <w:rPr>
          <w:b/>
          <w:bCs/>
          <w:color w:val="0B5394"/>
        </w:rPr>
        <w:t xml:space="preserve">4. Regional Performance</w:t>
      </w:r>
    </w:p>
    <w:p>
      <w:pPr>
        <w:spacing w:after="150"/>
      </w:pPr>
      <w:r>
        <w:rPr>
          <w:sz w:val="22"/>
          <w:szCs w:val="22"/>
        </w:rPr>
        <w:t xml:space="preserve">North is the clear leader, generating ₹3.79 Cr in sales — roughly 37% of total revenue and nearly 1.5x the next-highest region. West and South are closely matched at ₹2.59 Cr and ₹2.56 Cr respectively, while East trails at ₹1.35 Cr, about a third of North's total.</w:t>
      </w:r>
    </w:p>
    <w:p>
      <w:pPr>
        <w:spacing w:after="200"/>
        <w:jc w:val="center"/>
      </w:pPr>
      <w:r>
        <w:drawing>
          <wp:inline distT="0" distB="0" distL="0" distR="0">
            <wp:extent cx="523875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1 — Total Sales by Region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B5394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pct" w:w="25%"/>
            <w:shd w:fill="0B539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Sales (₹)</w:t>
            </w:r>
          </w:p>
        </w:tc>
        <w:tc>
          <w:tcPr>
            <w:tcW w:type="pct" w:w="25%"/>
            <w:shd w:fill="0B539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Profit (₹)</w:t>
            </w:r>
          </w:p>
        </w:tc>
        <w:tc>
          <w:tcPr>
            <w:tcW w:type="pct" w:w="25%"/>
            <w:shd w:fill="0B539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Margin %</w:t>
            </w:r>
          </w:p>
        </w:tc>
      </w:tr>
      <w:tr>
        <w:tc>
          <w:tcPr>
            <w:tcW w:type="pct" w:w="25%"/>
            <w:shd w:fill="F2F6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North</w:t>
            </w:r>
          </w:p>
        </w:tc>
        <w:tc>
          <w:tcPr>
            <w:tcW w:type="pct" w:w="25%"/>
            <w:shd w:fill="F2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3,79,37,575.78</w:t>
            </w:r>
          </w:p>
        </w:tc>
        <w:tc>
          <w:tcPr>
            <w:tcW w:type="pct" w:w="25%"/>
            <w:shd w:fill="F2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66,39,968.95</w:t>
            </w:r>
          </w:p>
        </w:tc>
        <w:tc>
          <w:tcPr>
            <w:tcW w:type="pct" w:w="25%"/>
            <w:shd w:fill="F2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17.50%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</w:t>
            </w:r>
          </w:p>
        </w:tc>
        <w:tc>
          <w:tcPr>
            <w:tcW w:type="pct" w:w="25%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2,58,85,854.85</w:t>
            </w:r>
          </w:p>
        </w:tc>
        <w:tc>
          <w:tcPr>
            <w:tcW w:type="pct" w:w="25%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44,69,389.99</w:t>
            </w:r>
          </w:p>
        </w:tc>
        <w:tc>
          <w:tcPr>
            <w:tcW w:type="pct" w:w="25%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17.27%</w:t>
            </w:r>
          </w:p>
        </w:tc>
      </w:tr>
      <w:tr>
        <w:tc>
          <w:tcPr>
            <w:tcW w:type="pct" w:w="25%"/>
            <w:shd w:fill="F2F6FB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South</w:t>
            </w:r>
          </w:p>
        </w:tc>
        <w:tc>
          <w:tcPr>
            <w:tcW w:type="pct" w:w="25%"/>
            <w:shd w:fill="F2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2,56,05,050.69</w:t>
            </w:r>
          </w:p>
        </w:tc>
        <w:tc>
          <w:tcPr>
            <w:tcW w:type="pct" w:w="25%"/>
            <w:shd w:fill="F2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43,94,158.77</w:t>
            </w:r>
          </w:p>
        </w:tc>
        <w:tc>
          <w:tcPr>
            <w:tcW w:type="pct" w:w="25%"/>
            <w:shd w:fill="F2F6FB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17.16%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East</w:t>
            </w:r>
          </w:p>
        </w:tc>
        <w:tc>
          <w:tcPr>
            <w:tcW w:type="pct" w:w="25%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1,35,40,935.41</w:t>
            </w:r>
          </w:p>
        </w:tc>
        <w:tc>
          <w:tcPr>
            <w:tcW w:type="pct" w:w="25%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23,90,637.50</w:t>
            </w:r>
          </w:p>
        </w:tc>
        <w:tc>
          <w:tcPr>
            <w:tcW w:type="pct" w:w="25%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17.65%</w:t>
            </w:r>
          </w:p>
        </w:tc>
      </w:tr>
    </w:tbl>
    <w:p>
      <w:pPr>
        <w:spacing w:after="150"/>
      </w:pPr>
      <w:r>
        <w:rPr>
          <w:i/>
          <w:iCs/>
          <w:color w:val="595959"/>
          <w:sz w:val="22"/>
          <w:szCs w:val="22"/>
        </w:rPr>
        <w:t xml:space="preserve">Margins are consistent across regions (17.2%–17.7%), so North's advantage comes from order volume rather than pricing or discounting differences — East, despite the lowest sales, actually posts the highest margin.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B5394"/>
        </w:rPr>
        <w:t xml:space="preserve">5. Product Analysis</w:t>
      </w:r>
    </w:p>
    <w:p>
      <w:pPr>
        <w:spacing w:after="150"/>
      </w:pPr>
      <w:r>
        <w:rPr>
          <w:sz w:val="22"/>
          <w:szCs w:val="22"/>
        </w:rPr>
        <w:t xml:space="preserve">Sales are evenly spread across the three top-level categories — Technology (₹3.45 Cr), Furniture (₹3.43 Cr) and Office Supplies (₹3.42 Cr) each contribute close to a third of revenue. At the sub-category level, Binders (₹1.20 Cr) and Chairs (₹1.17 Cr) lead, while Paper (₹1.09 Cr) is the smallest contributor — but the spread across all nine sub-categories is narrow (within ~10%).</w:t>
      </w:r>
    </w:p>
    <w:p>
      <w:pPr>
        <w:spacing w:after="200"/>
        <w:jc w:val="center"/>
      </w:pPr>
      <w:r>
        <w:drawing>
          <wp:inline distT="0" distB="0" distL="0" distR="0">
            <wp:extent cx="523875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2 — Total Sales by Sub-Category</w:t>
      </w:r>
    </w:p>
    <w:p>
      <w:pPr>
        <w:spacing w:after="20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3 — Sales Share by Category</w:t>
      </w:r>
    </w:p>
    <w:p>
      <w:pPr>
        <w:pStyle w:val="Heading1"/>
        <w:spacing w:after="150" w:before="300"/>
      </w:pPr>
      <w:r>
        <w:rPr>
          <w:b/>
          <w:bCs/>
          <w:color w:val="0B5394"/>
        </w:rPr>
        <w:t xml:space="preserve">6. Sales Trend Over Time</w:t>
      </w:r>
    </w:p>
    <w:p>
      <w:pPr>
        <w:spacing w:after="150"/>
      </w:pPr>
      <w:r>
        <w:rPr>
          <w:sz w:val="22"/>
          <w:szCs w:val="22"/>
        </w:rPr>
        <w:t xml:space="preserve">Monthly sales were stable through 2023, ranging between ₹7.8 Cr and ₹9.4 Cr with no strong seasonal dips. July and December 2023 were the strongest months, with December peaking at ₹93.68 Lakh. The sharp drop shown for January 2024 reflects only a single day of data (2024-01-01) in the dataset, not an actual decline, since the dataset otherwise ends at 2023-12-31.</w:t>
      </w:r>
    </w:p>
    <w:p>
      <w:pPr>
        <w:spacing w:after="200"/>
        <w:jc w:val="center"/>
      </w:pPr>
      <w:r>
        <w:drawing>
          <wp:inline distT="0" distB="0" distL="0" distR="0">
            <wp:extent cx="571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4 — Monthly Sales Trend (Jan 2023 – Jan 2024)</w:t>
      </w:r>
    </w:p>
    <w:p>
      <w:pPr>
        <w:pStyle w:val="Heading1"/>
        <w:spacing w:after="150" w:before="300"/>
      </w:pPr>
      <w:r>
        <w:rPr>
          <w:b/>
          <w:bCs/>
          <w:color w:val="0B5394"/>
        </w:rPr>
        <w:t xml:space="preserve">7. Geographic Performance (Map View)</w:t>
      </w:r>
    </w:p>
    <w:p>
      <w:pPr>
        <w:spacing w:after="150"/>
      </w:pPr>
      <w:r>
        <w:rPr>
          <w:sz w:val="22"/>
          <w:szCs w:val="22"/>
        </w:rPr>
        <w:t xml:space="preserve">Sales are distributed across eight states with West Bengal (₹1.35 Cr), Maharashtra (₹1.35 Cr) and Delhi (₹1.29 Cr) at the top, and Gujarat (₹1.24 Cr) at the lower end. Overall state-level spread is tight — the top and bottom states differ by only about 9% — indicating a fairly balanced footprint rather than dependence on one hub state.</w:t>
      </w:r>
    </w:p>
    <w:p>
      <w:pPr>
        <w:spacing w:after="200"/>
        <w:jc w:val="center"/>
      </w:pPr>
      <w:r>
        <w:drawing>
          <wp:inline distT="0" distB="0" distL="0" distR="0">
            <wp:extent cx="523875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5 — Total Sales by State (proxy for the dashboard's Map View)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B5394"/>
        </w:rPr>
        <w:t xml:space="preserve">8. Key Insights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North region drives the largest share of revenue (37%) despite having margins similar to other regions — its scale comes from higher order volume.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Profit margin is remarkably consistent across regions (17.2%–17.7%) and categories (17.2%–17.5%), suggesting a uniform pricing/discount policy nationally.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 single product category dominates — Technology, Furniture and Office Supplies each contribute roughly a third of sales, pointing to a well-diversified product mix.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Monthly sales are stable with a mild upward pull toward year-end (Dec 2023 was the peak month), useful for staffing and inventory planning.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State-level sales are evenly spread (Gujarat to West Bengal within ~9%), showing the business is not overly reliant on any one state.</w:t>
      </w:r>
    </w:p>
    <w:p>
      <w:pPr>
        <w:pStyle w:val="Heading1"/>
        <w:spacing w:after="150" w:before="300"/>
      </w:pPr>
      <w:r>
        <w:rPr>
          <w:b/>
          <w:bCs/>
          <w:color w:val="0B5394"/>
        </w:rPr>
        <w:t xml:space="preserve">9.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Investigate what is driving North's higher order volume (marketing spend, dealer network, demand) and evaluate replicating those drivers in East, the lowest-performing region.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Since East has the smallest sales but the highest margin, consider a targeted growth push there rather than margin-focused actions — volume, not pricing, is the opportunity.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 the Dec/Jul peak pattern to plan inventory and promotional campaigns ahead of these months.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Because sub-category performance is narrow, consider bundling lower-performing items like Paper with higher-performing ones like Binders to lift average order value.</w:t>
      </w:r>
    </w:p>
    <w:p>
      <w:pPr>
        <w:pStyle w:val="Heading1"/>
        <w:spacing w:after="150" w:before="300"/>
      </w:pPr>
      <w:r>
        <w:rPr>
          <w:b/>
          <w:bCs/>
          <w:color w:val="0B5394"/>
        </w:rPr>
        <w:t xml:space="preserve">10. Conclusion</w:t>
      </w:r>
    </w:p>
    <w:p>
      <w:pPr>
        <w:spacing w:after="150"/>
      </w:pPr>
      <w:r>
        <w:rPr>
          <w:sz w:val="22"/>
          <w:szCs w:val="22"/>
        </w:rPr>
        <w:t xml:space="preserve">The FY2023 India sales data shows a healthy, well-diversified business generating ₹10.30 Crore in revenue at a stable ~17.4% margin, led by the North region and an even product mix. The Tableau dashboard makes these regional, product and time-based patterns immediately visible for ongoing monitoring, and the recommendations above translate the analysis into concrete next steps for regional and product strategy.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Prepared by Neha Bhatt  |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India Sales Performance —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e79764fa49b8f8b26b079617fd8b5d96edf0263.png"/><Relationship Id="rId10" Type="http://schemas.openxmlformats.org/officeDocument/2006/relationships/image" Target="media/cfe3436993252766c80adc06cd832919ed96922a.png"/><Relationship Id="rId11" Type="http://schemas.openxmlformats.org/officeDocument/2006/relationships/image" Target="media/8b20005160e67e8d9b5f7533d08dc80a337d9989.png"/><Relationship Id="rId12" Type="http://schemas.openxmlformats.org/officeDocument/2006/relationships/image" Target="media/dae299f2ef895b5d00bd7200536e697bb1a6efae.png"/><Relationship Id="rId13" Type="http://schemas.openxmlformats.org/officeDocument/2006/relationships/image" Target="media/c9c3238725c9368cb4584ed00ad02d46889453df.png"/><Relationship Id="rId14" Type="http://schemas.openxmlformats.org/officeDocument/2006/relationships/image" Target="media/1a86ef27b4708d3f870e4f2ae2eebfaea90f1fe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2026-08-21T05:14:22.342Z</dcterms:created>
  <dcterms:modified xsi:type="dcterms:W3CDTF">2026-08-21T05:14:22.352Z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