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DFE93" w14:textId="77777777" w:rsidR="00EE1F6A" w:rsidRPr="00E17FC3" w:rsidRDefault="0004392E" w:rsidP="00E2497F">
      <w:pPr>
        <w:spacing w:line="276" w:lineRule="auto"/>
        <w:jc w:val="center"/>
        <w:rPr>
          <w:b/>
          <w:bCs/>
          <w:color w:val="404040" w:themeColor="text1" w:themeTint="BF"/>
          <w:sz w:val="32"/>
          <w:szCs w:val="32"/>
        </w:rPr>
      </w:pPr>
      <w:r w:rsidRPr="00E17FC3">
        <w:rPr>
          <w:b/>
          <w:bCs/>
          <w:color w:val="404040" w:themeColor="text1" w:themeTint="BF"/>
          <w:sz w:val="32"/>
          <w:szCs w:val="32"/>
        </w:rPr>
        <w:t>A Case Study on Average Home Prices in the Greater Toronto Area</w:t>
      </w:r>
    </w:p>
    <w:p w14:paraId="5A5261A1" w14:textId="15AFBE1D" w:rsidR="0004392E" w:rsidRPr="00BF6E4F" w:rsidRDefault="00081478" w:rsidP="00BF6E4F">
      <w:pPr>
        <w:spacing w:line="276" w:lineRule="auto"/>
        <w:jc w:val="center"/>
        <w:rPr>
          <w:b/>
          <w:bCs/>
          <w:i/>
          <w:iCs/>
          <w:color w:val="404040" w:themeColor="text1" w:themeTint="BF"/>
          <w:sz w:val="28"/>
          <w:szCs w:val="28"/>
        </w:rPr>
      </w:pPr>
      <w:r w:rsidRPr="00EE1F6A">
        <w:rPr>
          <w:b/>
          <w:bCs/>
          <w:i/>
          <w:iCs/>
          <w:color w:val="404040" w:themeColor="text1" w:themeTint="BF"/>
          <w:sz w:val="28"/>
          <w:szCs w:val="28"/>
        </w:rPr>
        <w:t>Misleading Visualizatio</w:t>
      </w:r>
      <w:r w:rsidR="000E5309" w:rsidRPr="00EE1F6A">
        <w:rPr>
          <w:b/>
          <w:bCs/>
          <w:i/>
          <w:iCs/>
          <w:color w:val="404040" w:themeColor="text1" w:themeTint="BF"/>
          <w:sz w:val="28"/>
          <w:szCs w:val="28"/>
        </w:rPr>
        <w:t>ns</w:t>
      </w:r>
    </w:p>
    <w:p w14:paraId="60F8DAEF" w14:textId="77777777" w:rsidR="00641FA3" w:rsidRDefault="00641FA3" w:rsidP="008C5956">
      <w:pPr>
        <w:spacing w:line="276" w:lineRule="auto"/>
        <w:rPr>
          <w:color w:val="404040" w:themeColor="text1" w:themeTint="BF"/>
        </w:rPr>
      </w:pPr>
    </w:p>
    <w:p w14:paraId="78F85C9B" w14:textId="77777777" w:rsidR="00372122" w:rsidRPr="002A6863" w:rsidRDefault="00372122" w:rsidP="00E2497F">
      <w:pPr>
        <w:spacing w:line="276" w:lineRule="auto"/>
        <w:jc w:val="center"/>
        <w:rPr>
          <w:color w:val="404040" w:themeColor="text1" w:themeTint="BF"/>
        </w:rPr>
      </w:pPr>
    </w:p>
    <w:p w14:paraId="116DB1FE" w14:textId="5611B4CE" w:rsidR="0004392E" w:rsidRPr="002A6863" w:rsidRDefault="00A44A6A" w:rsidP="00E2497F">
      <w:pPr>
        <w:pBdr>
          <w:bottom w:val="single" w:sz="4" w:space="1" w:color="auto"/>
        </w:pBdr>
        <w:spacing w:line="276" w:lineRule="auto"/>
        <w:rPr>
          <w:color w:val="404040" w:themeColor="text1" w:themeTint="BF"/>
          <w:sz w:val="28"/>
          <w:szCs w:val="28"/>
        </w:rPr>
      </w:pPr>
      <w:r w:rsidRPr="002A6863">
        <w:rPr>
          <w:color w:val="404040" w:themeColor="text1" w:themeTint="BF"/>
          <w:sz w:val="28"/>
          <w:szCs w:val="28"/>
        </w:rPr>
        <w:t>Introduction</w:t>
      </w:r>
    </w:p>
    <w:p w14:paraId="69335700" w14:textId="77777777" w:rsidR="006D141F" w:rsidRDefault="006D141F" w:rsidP="00E2497F">
      <w:pPr>
        <w:spacing w:line="276" w:lineRule="auto"/>
        <w:rPr>
          <w:color w:val="404040" w:themeColor="text1" w:themeTint="BF"/>
        </w:rPr>
      </w:pPr>
    </w:p>
    <w:p w14:paraId="6E1805A8" w14:textId="77777777" w:rsidR="008F0AD1" w:rsidRPr="002A6863" w:rsidRDefault="008F0AD1" w:rsidP="00E2497F">
      <w:pPr>
        <w:spacing w:line="276" w:lineRule="auto"/>
        <w:rPr>
          <w:color w:val="404040" w:themeColor="text1" w:themeTint="BF"/>
        </w:rPr>
      </w:pPr>
    </w:p>
    <w:p w14:paraId="6AD7D6DC" w14:textId="76612A18" w:rsidR="00A44A6A" w:rsidRDefault="006D141F" w:rsidP="00BE78C6">
      <w:pPr>
        <w:spacing w:line="276" w:lineRule="auto"/>
        <w:jc w:val="center"/>
        <w:rPr>
          <w:color w:val="404040" w:themeColor="text1" w:themeTint="BF"/>
        </w:rPr>
      </w:pPr>
      <w:r w:rsidRPr="002A6863">
        <w:rPr>
          <w:color w:val="404040" w:themeColor="text1" w:themeTint="BF"/>
        </w:rPr>
        <w:fldChar w:fldCharType="begin"/>
      </w:r>
      <w:r w:rsidRPr="002A6863">
        <w:rPr>
          <w:color w:val="404040" w:themeColor="text1" w:themeTint="BF"/>
        </w:rPr>
        <w:instrText xml:space="preserve"> INCLUDEPICTURE "https://i0.wp.com/www.codeconquest.com/wp-content/uploads/image-17.png?resize=1024%2C768&amp;ssl=1" \* MERGEFORMATINET </w:instrText>
      </w:r>
      <w:r w:rsidRPr="002A6863">
        <w:rPr>
          <w:color w:val="404040" w:themeColor="text1" w:themeTint="BF"/>
        </w:rPr>
        <w:fldChar w:fldCharType="separate"/>
      </w:r>
      <w:r w:rsidRPr="002A6863">
        <w:rPr>
          <w:noProof/>
          <w:color w:val="404040" w:themeColor="text1" w:themeTint="BF"/>
        </w:rPr>
        <w:drawing>
          <wp:inline distT="0" distB="0" distL="0" distR="0" wp14:anchorId="108BC9A3" wp14:editId="04E8B992">
            <wp:extent cx="5453816" cy="4082415"/>
            <wp:effectExtent l="0" t="0" r="0" b="0"/>
            <wp:docPr id="2113721020" name="Picture 1" descr="Too Much Information! Isn'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 Much Information! Isn't it?"/>
                    <pic:cNvPicPr>
                      <a:picLocks noChangeAspect="1" noChangeArrowheads="1"/>
                    </pic:cNvPicPr>
                  </pic:nvPicPr>
                  <pic:blipFill rotWithShape="1">
                    <a:blip r:embed="rId7">
                      <a:extLst>
                        <a:ext uri="{BEBA8EAE-BF5A-486C-A8C5-ECC9F3942E4B}">
                          <a14:imgProps xmlns:a14="http://schemas.microsoft.com/office/drawing/2010/main">
                            <a14:imgLayer r:embed="rId8">
                              <a14:imgEffect>
                                <a14:colorTemperature colorTemp="8800"/>
                              </a14:imgEffect>
                            </a14:imgLayer>
                          </a14:imgProps>
                        </a:ext>
                        <a:ext uri="{28A0092B-C50C-407E-A947-70E740481C1C}">
                          <a14:useLocalDpi xmlns:a14="http://schemas.microsoft.com/office/drawing/2010/main" val="0"/>
                        </a:ext>
                      </a:extLst>
                    </a:blip>
                    <a:srcRect l="4831" r="3399" b="8434"/>
                    <a:stretch/>
                  </pic:blipFill>
                  <pic:spPr bwMode="auto">
                    <a:xfrm>
                      <a:off x="0" y="0"/>
                      <a:ext cx="5454468" cy="4082903"/>
                    </a:xfrm>
                    <a:prstGeom prst="rect">
                      <a:avLst/>
                    </a:prstGeom>
                    <a:noFill/>
                    <a:ln>
                      <a:noFill/>
                    </a:ln>
                    <a:extLst>
                      <a:ext uri="{53640926-AAD7-44D8-BBD7-CCE9431645EC}">
                        <a14:shadowObscured xmlns:a14="http://schemas.microsoft.com/office/drawing/2010/main"/>
                      </a:ext>
                    </a:extLst>
                  </pic:spPr>
                </pic:pic>
              </a:graphicData>
            </a:graphic>
          </wp:inline>
        </w:drawing>
      </w:r>
      <w:r w:rsidRPr="002A6863">
        <w:rPr>
          <w:color w:val="404040" w:themeColor="text1" w:themeTint="BF"/>
        </w:rPr>
        <w:fldChar w:fldCharType="end"/>
      </w:r>
    </w:p>
    <w:p w14:paraId="097CDD91" w14:textId="4F107358" w:rsidR="008F0AD1" w:rsidRPr="005F7C9E" w:rsidRDefault="005F7C9E" w:rsidP="00BE78C6">
      <w:pPr>
        <w:spacing w:line="276" w:lineRule="auto"/>
        <w:jc w:val="center"/>
        <w:rPr>
          <w:i/>
          <w:iCs/>
          <w:color w:val="404040" w:themeColor="text1" w:themeTint="BF"/>
        </w:rPr>
      </w:pPr>
      <w:r w:rsidRPr="005F7C9E">
        <w:rPr>
          <w:i/>
          <w:iCs/>
          <w:color w:val="404040" w:themeColor="text1" w:themeTint="BF"/>
        </w:rPr>
        <w:t xml:space="preserve">Fig 1. </w:t>
      </w:r>
      <w:r w:rsidR="003E21C8">
        <w:rPr>
          <w:i/>
          <w:iCs/>
          <w:color w:val="404040" w:themeColor="text1" w:themeTint="BF"/>
        </w:rPr>
        <w:t>Average Home Prices in February in the Greater Toronto Area (2020 – 2023)</w:t>
      </w:r>
    </w:p>
    <w:p w14:paraId="1E3D7067" w14:textId="77777777" w:rsidR="001126A6" w:rsidRDefault="001126A6" w:rsidP="00E2497F">
      <w:pPr>
        <w:spacing w:line="276" w:lineRule="auto"/>
        <w:rPr>
          <w:color w:val="404040" w:themeColor="text1" w:themeTint="BF"/>
        </w:rPr>
      </w:pPr>
    </w:p>
    <w:p w14:paraId="18D27125" w14:textId="77777777" w:rsidR="00081464" w:rsidRPr="002A6863" w:rsidRDefault="00081464" w:rsidP="00E2497F">
      <w:pPr>
        <w:spacing w:line="276" w:lineRule="auto"/>
        <w:rPr>
          <w:color w:val="404040" w:themeColor="text1" w:themeTint="BF"/>
        </w:rPr>
      </w:pPr>
    </w:p>
    <w:p w14:paraId="4C57A1BE" w14:textId="0AAA83CA" w:rsidR="001126A6" w:rsidRDefault="00081478" w:rsidP="00E2497F">
      <w:pPr>
        <w:spacing w:line="276" w:lineRule="auto"/>
        <w:rPr>
          <w:color w:val="404040" w:themeColor="text1" w:themeTint="BF"/>
        </w:rPr>
      </w:pPr>
      <w:r w:rsidRPr="002A6863">
        <w:rPr>
          <w:color w:val="404040" w:themeColor="text1" w:themeTint="BF"/>
        </w:rPr>
        <w:t xml:space="preserve">The visualization picked for the assignment </w:t>
      </w:r>
      <w:r w:rsidR="00AF4EFF">
        <w:rPr>
          <w:color w:val="404040" w:themeColor="text1" w:themeTint="BF"/>
        </w:rPr>
        <w:t>is a bar graph showing average home prices in February for the Greater Toronto Area over 4 years (2020</w:t>
      </w:r>
      <w:r w:rsidR="007F1562">
        <w:rPr>
          <w:color w:val="404040" w:themeColor="text1" w:themeTint="BF"/>
        </w:rPr>
        <w:t xml:space="preserve"> – 2</w:t>
      </w:r>
      <w:r w:rsidR="00AF4EFF">
        <w:rPr>
          <w:color w:val="404040" w:themeColor="text1" w:themeTint="BF"/>
        </w:rPr>
        <w:t xml:space="preserve">023). It also includes additional information on the number of units sold each year. </w:t>
      </w:r>
      <w:r w:rsidR="00A51ABA">
        <w:rPr>
          <w:color w:val="404040" w:themeColor="text1" w:themeTint="BF"/>
        </w:rPr>
        <w:t xml:space="preserve">At first glance, it attempts to convey two important trends in real estate: the number of homes sold and the average prices over the same period. </w:t>
      </w:r>
      <w:r w:rsidR="00AD486F">
        <w:rPr>
          <w:color w:val="404040" w:themeColor="text1" w:themeTint="BF"/>
        </w:rPr>
        <w:t xml:space="preserve">However, the representation creates confusion due to the improper usage of bar graph, which </w:t>
      </w:r>
      <w:r w:rsidR="00E61C17">
        <w:rPr>
          <w:color w:val="404040" w:themeColor="text1" w:themeTint="BF"/>
        </w:rPr>
        <w:t xml:space="preserve">can confuse the viewer. </w:t>
      </w:r>
    </w:p>
    <w:p w14:paraId="16585D23" w14:textId="59E91227" w:rsidR="00C438EB" w:rsidRDefault="00C438EB" w:rsidP="00E2497F">
      <w:pPr>
        <w:spacing w:line="276" w:lineRule="auto"/>
        <w:rPr>
          <w:color w:val="404040" w:themeColor="text1" w:themeTint="BF"/>
        </w:rPr>
      </w:pPr>
      <w:r>
        <w:rPr>
          <w:color w:val="404040" w:themeColor="text1" w:themeTint="BF"/>
        </w:rPr>
        <w:br w:type="page"/>
      </w:r>
    </w:p>
    <w:p w14:paraId="174DEE65" w14:textId="253D91B9" w:rsidR="00537060" w:rsidRPr="00537060" w:rsidRDefault="00537060" w:rsidP="00537060">
      <w:pPr>
        <w:pBdr>
          <w:bottom w:val="single" w:sz="4" w:space="1" w:color="auto"/>
        </w:pBdr>
        <w:rPr>
          <w:color w:val="404040" w:themeColor="text1" w:themeTint="BF"/>
          <w:sz w:val="28"/>
          <w:szCs w:val="28"/>
        </w:rPr>
      </w:pPr>
      <w:r w:rsidRPr="00537060">
        <w:rPr>
          <w:color w:val="404040" w:themeColor="text1" w:themeTint="BF"/>
          <w:sz w:val="28"/>
          <w:szCs w:val="28"/>
        </w:rPr>
        <w:lastRenderedPageBreak/>
        <w:t>Misleading visualization</w:t>
      </w:r>
    </w:p>
    <w:p w14:paraId="5A6B3DE6" w14:textId="77777777" w:rsidR="00443877" w:rsidRDefault="00443877" w:rsidP="008021F0">
      <w:pPr>
        <w:rPr>
          <w:color w:val="404040" w:themeColor="text1" w:themeTint="BF"/>
        </w:rPr>
      </w:pPr>
    </w:p>
    <w:p w14:paraId="31D2C0BB" w14:textId="29DC10C3" w:rsidR="00443877" w:rsidRDefault="00CA6E6B" w:rsidP="00E43FF1">
      <w:pPr>
        <w:spacing w:line="276" w:lineRule="auto"/>
        <w:rPr>
          <w:color w:val="404040" w:themeColor="text1" w:themeTint="BF"/>
        </w:rPr>
      </w:pPr>
      <w:r>
        <w:rPr>
          <w:color w:val="404040" w:themeColor="text1" w:themeTint="BF"/>
        </w:rPr>
        <w:t>In general, there is too much information on the plot</w:t>
      </w:r>
      <w:r w:rsidR="00BB28B5">
        <w:rPr>
          <w:color w:val="404040" w:themeColor="text1" w:themeTint="BF"/>
        </w:rPr>
        <w:t xml:space="preserve"> and although the Y – axis values are depicted with the $ sign, the axis title is missing</w:t>
      </w:r>
      <w:r w:rsidR="00EC74A7">
        <w:rPr>
          <w:color w:val="404040" w:themeColor="text1" w:themeTint="BF"/>
        </w:rPr>
        <w:t xml:space="preserve">, which </w:t>
      </w:r>
      <w:r w:rsidR="00535B02">
        <w:rPr>
          <w:color w:val="404040" w:themeColor="text1" w:themeTint="BF"/>
        </w:rPr>
        <w:t xml:space="preserve">might </w:t>
      </w:r>
      <w:r w:rsidR="00EC74A7">
        <w:rPr>
          <w:color w:val="404040" w:themeColor="text1" w:themeTint="BF"/>
        </w:rPr>
        <w:t>be misleading</w:t>
      </w:r>
      <w:r>
        <w:rPr>
          <w:color w:val="404040" w:themeColor="text1" w:themeTint="BF"/>
        </w:rPr>
        <w:t xml:space="preserve">. </w:t>
      </w:r>
      <w:r w:rsidR="0066353C">
        <w:rPr>
          <w:color w:val="404040" w:themeColor="text1" w:themeTint="BF"/>
        </w:rPr>
        <w:t>Let’s analyze this visualization, clearly stating what is misleading about it, and propose clearer alternatives, and offer a corrected version that more effectively represents the data.</w:t>
      </w:r>
    </w:p>
    <w:p w14:paraId="1D76B9FD" w14:textId="77777777" w:rsidR="005119A2" w:rsidRDefault="005119A2" w:rsidP="008021F0">
      <w:pPr>
        <w:rPr>
          <w:color w:val="404040" w:themeColor="text1" w:themeTint="BF"/>
        </w:rPr>
      </w:pPr>
    </w:p>
    <w:tbl>
      <w:tblPr>
        <w:tblStyle w:val="TableGrid"/>
        <w:tblW w:w="9630" w:type="dxa"/>
        <w:tblLook w:val="04A0" w:firstRow="1" w:lastRow="0" w:firstColumn="1" w:lastColumn="0" w:noHBand="0" w:noVBand="1"/>
      </w:tblPr>
      <w:tblGrid>
        <w:gridCol w:w="4770"/>
        <w:gridCol w:w="4860"/>
      </w:tblGrid>
      <w:tr w:rsidR="00375E9A" w:rsidRPr="00DF1B17" w14:paraId="10F6924F" w14:textId="77777777" w:rsidTr="00375E9A">
        <w:trPr>
          <w:trHeight w:val="342"/>
        </w:trPr>
        <w:tc>
          <w:tcPr>
            <w:tcW w:w="4770" w:type="dxa"/>
            <w:tcBorders>
              <w:top w:val="nil"/>
              <w:left w:val="nil"/>
              <w:bottom w:val="single" w:sz="4" w:space="0" w:color="auto"/>
              <w:right w:val="nil"/>
            </w:tcBorders>
          </w:tcPr>
          <w:p w14:paraId="25B27AAB" w14:textId="3E022DCD" w:rsidR="00DB0158" w:rsidRPr="00810101" w:rsidRDefault="00DB0158" w:rsidP="00DF1B17">
            <w:pPr>
              <w:jc w:val="center"/>
              <w:rPr>
                <w:b/>
                <w:bCs/>
                <w:i/>
                <w:iCs/>
                <w:color w:val="BF4E14" w:themeColor="accent2" w:themeShade="BF"/>
                <w:sz w:val="28"/>
                <w:szCs w:val="28"/>
              </w:rPr>
            </w:pPr>
            <w:r w:rsidRPr="00810101">
              <w:rPr>
                <w:b/>
                <w:bCs/>
                <w:i/>
                <w:iCs/>
                <w:color w:val="BF4E14" w:themeColor="accent2" w:themeShade="BF"/>
                <w:sz w:val="28"/>
                <w:szCs w:val="28"/>
              </w:rPr>
              <w:t>Analysis</w:t>
            </w:r>
          </w:p>
        </w:tc>
        <w:tc>
          <w:tcPr>
            <w:tcW w:w="4860" w:type="dxa"/>
            <w:tcBorders>
              <w:top w:val="nil"/>
              <w:left w:val="nil"/>
              <w:bottom w:val="single" w:sz="4" w:space="0" w:color="auto"/>
              <w:right w:val="nil"/>
            </w:tcBorders>
          </w:tcPr>
          <w:p w14:paraId="4B18C97D" w14:textId="60D79FDE" w:rsidR="00DB0158" w:rsidRPr="00621C49" w:rsidRDefault="00DB0158" w:rsidP="00DF1B17">
            <w:pPr>
              <w:jc w:val="center"/>
              <w:rPr>
                <w:b/>
                <w:bCs/>
                <w:color w:val="3A7C22" w:themeColor="accent6" w:themeShade="BF"/>
                <w:sz w:val="28"/>
                <w:szCs w:val="28"/>
              </w:rPr>
            </w:pPr>
            <w:r w:rsidRPr="00621C49">
              <w:rPr>
                <w:b/>
                <w:bCs/>
                <w:color w:val="3A7C22" w:themeColor="accent6" w:themeShade="BF"/>
                <w:sz w:val="28"/>
                <w:szCs w:val="28"/>
              </w:rPr>
              <w:t>Fix</w:t>
            </w:r>
          </w:p>
        </w:tc>
      </w:tr>
      <w:tr w:rsidR="00CB5CF8" w14:paraId="18A7095C" w14:textId="77777777" w:rsidTr="00375E9A">
        <w:trPr>
          <w:trHeight w:val="4193"/>
        </w:trPr>
        <w:tc>
          <w:tcPr>
            <w:tcW w:w="4770" w:type="dxa"/>
            <w:tcBorders>
              <w:top w:val="single" w:sz="4" w:space="0" w:color="auto"/>
            </w:tcBorders>
          </w:tcPr>
          <w:p w14:paraId="7F97778D" w14:textId="10A77903" w:rsidR="00DB0158" w:rsidRPr="00810101" w:rsidRDefault="002C5C52" w:rsidP="0037341A">
            <w:pPr>
              <w:rPr>
                <w:b/>
                <w:bCs/>
                <w:i/>
                <w:iCs/>
                <w:color w:val="BF4E14" w:themeColor="accent2" w:themeShade="BF"/>
              </w:rPr>
            </w:pPr>
            <w:r w:rsidRPr="00810101">
              <w:rPr>
                <w:b/>
                <w:bCs/>
                <w:i/>
                <w:iCs/>
                <w:color w:val="BF4E14" w:themeColor="accent2" w:themeShade="BF"/>
              </w:rPr>
              <w:t xml:space="preserve">Inconsistent </w:t>
            </w:r>
            <w:r w:rsidR="005269AF" w:rsidRPr="00810101">
              <w:rPr>
                <w:b/>
                <w:bCs/>
                <w:i/>
                <w:iCs/>
                <w:color w:val="BF4E14" w:themeColor="accent2" w:themeShade="BF"/>
              </w:rPr>
              <w:t>data representation</w:t>
            </w:r>
            <w:r w:rsidR="00957787" w:rsidRPr="00810101">
              <w:rPr>
                <w:b/>
                <w:bCs/>
                <w:i/>
                <w:iCs/>
                <w:color w:val="BF4E14" w:themeColor="accent2" w:themeShade="BF"/>
              </w:rPr>
              <w:t xml:space="preserve"> and </w:t>
            </w:r>
            <w:r w:rsidR="008B2EA1" w:rsidRPr="00810101">
              <w:rPr>
                <w:b/>
                <w:bCs/>
                <w:i/>
                <w:iCs/>
                <w:color w:val="BF4E14" w:themeColor="accent2" w:themeShade="BF"/>
              </w:rPr>
              <w:t>visual clutter</w:t>
            </w:r>
          </w:p>
          <w:p w14:paraId="5E57A8A1" w14:textId="0DB5CC39" w:rsidR="002C5C52" w:rsidRPr="00810101" w:rsidRDefault="00DF1B17" w:rsidP="0037341A">
            <w:pPr>
              <w:rPr>
                <w:i/>
                <w:iCs/>
                <w:color w:val="BF4E14" w:themeColor="accent2" w:themeShade="BF"/>
              </w:rPr>
            </w:pPr>
            <w:r w:rsidRPr="00810101">
              <w:rPr>
                <w:i/>
                <w:iCs/>
                <w:color w:val="BF4E14" w:themeColor="accent2" w:themeShade="BF"/>
              </w:rPr>
              <w:t>Bar graphs are most effective when representing a single variable. The chart above, however, combines two metrics. The X – axis shows the number of units sold each year in the month of February and the Y – axis shows the average prices of the houses</w:t>
            </w:r>
            <w:r w:rsidR="00A67F5A">
              <w:rPr>
                <w:i/>
                <w:iCs/>
                <w:color w:val="BF4E14" w:themeColor="accent2" w:themeShade="BF"/>
              </w:rPr>
              <w:t xml:space="preserve"> (the axis title is missing)</w:t>
            </w:r>
            <w:r w:rsidRPr="00810101">
              <w:rPr>
                <w:i/>
                <w:iCs/>
                <w:color w:val="BF4E14" w:themeColor="accent2" w:themeShade="BF"/>
              </w:rPr>
              <w:t>. The year is labeled on the bars.</w:t>
            </w:r>
            <w:r w:rsidR="00534B8A" w:rsidRPr="00810101">
              <w:rPr>
                <w:i/>
                <w:iCs/>
                <w:color w:val="BF4E14" w:themeColor="accent2" w:themeShade="BF"/>
              </w:rPr>
              <w:t xml:space="preserve"> Heights of the bars can be interpreted incorrectly as representing both metrics simultaneously. This can lead to the false assumption of a strong relationship between average home prices and the units sold.</w:t>
            </w:r>
            <w:r w:rsidRPr="00810101">
              <w:rPr>
                <w:i/>
                <w:iCs/>
                <w:color w:val="BF4E14" w:themeColor="accent2" w:themeShade="BF"/>
              </w:rPr>
              <w:t xml:space="preserve"> </w:t>
            </w:r>
          </w:p>
        </w:tc>
        <w:tc>
          <w:tcPr>
            <w:tcW w:w="4860" w:type="dxa"/>
            <w:tcBorders>
              <w:top w:val="single" w:sz="4" w:space="0" w:color="auto"/>
            </w:tcBorders>
          </w:tcPr>
          <w:p w14:paraId="2B3A2E72" w14:textId="603F8BB6" w:rsidR="00DB0158" w:rsidRPr="00621C49" w:rsidRDefault="002C5C52" w:rsidP="00DB0158">
            <w:pPr>
              <w:rPr>
                <w:b/>
                <w:bCs/>
                <w:color w:val="3A7C22" w:themeColor="accent6" w:themeShade="BF"/>
              </w:rPr>
            </w:pPr>
            <w:r w:rsidRPr="00621C49">
              <w:rPr>
                <w:b/>
                <w:bCs/>
                <w:color w:val="3A7C22" w:themeColor="accent6" w:themeShade="BF"/>
              </w:rPr>
              <w:t>Separat</w:t>
            </w:r>
            <w:r w:rsidR="000E7A64" w:rsidRPr="00621C49">
              <w:rPr>
                <w:b/>
                <w:bCs/>
                <w:color w:val="3A7C22" w:themeColor="accent6" w:themeShade="BF"/>
              </w:rPr>
              <w:t>ing</w:t>
            </w:r>
            <w:r w:rsidRPr="00621C49">
              <w:rPr>
                <w:b/>
                <w:bCs/>
                <w:color w:val="3A7C22" w:themeColor="accent6" w:themeShade="BF"/>
              </w:rPr>
              <w:t xml:space="preserve"> metrics</w:t>
            </w:r>
            <w:r w:rsidR="000E7A64" w:rsidRPr="00621C49">
              <w:rPr>
                <w:b/>
                <w:bCs/>
                <w:color w:val="3A7C22" w:themeColor="accent6" w:themeShade="BF"/>
              </w:rPr>
              <w:t xml:space="preserve"> for clarity</w:t>
            </w:r>
          </w:p>
          <w:p w14:paraId="63ED10B6" w14:textId="4FFC0430" w:rsidR="002C5C52" w:rsidRPr="00621C49" w:rsidRDefault="00534B8A" w:rsidP="00DB0158">
            <w:pPr>
              <w:rPr>
                <w:color w:val="3A7C22" w:themeColor="accent6" w:themeShade="BF"/>
              </w:rPr>
            </w:pPr>
            <w:r w:rsidRPr="00621C49">
              <w:rPr>
                <w:color w:val="3A7C22" w:themeColor="accent6" w:themeShade="BF"/>
              </w:rPr>
              <w:t xml:space="preserve">To avoid any confusion between the two </w:t>
            </w:r>
            <w:r w:rsidR="00D3701E" w:rsidRPr="00621C49">
              <w:rPr>
                <w:color w:val="3A7C22" w:themeColor="accent6" w:themeShade="BF"/>
              </w:rPr>
              <w:t>metrics and</w:t>
            </w:r>
            <w:r w:rsidRPr="00621C49">
              <w:rPr>
                <w:color w:val="3A7C22" w:themeColor="accent6" w:themeShade="BF"/>
              </w:rPr>
              <w:t xml:space="preserve"> allow the viewer </w:t>
            </w:r>
            <w:r w:rsidR="00376400" w:rsidRPr="00621C49">
              <w:rPr>
                <w:color w:val="3A7C22" w:themeColor="accent6" w:themeShade="BF"/>
              </w:rPr>
              <w:t xml:space="preserve">to focus on one metric at a time. </w:t>
            </w:r>
            <w:r w:rsidR="004E5F4B" w:rsidRPr="00621C49">
              <w:rPr>
                <w:color w:val="3A7C22" w:themeColor="accent6" w:themeShade="BF"/>
              </w:rPr>
              <w:t xml:space="preserve">The text should clarify that each bar should represent only one metric, and </w:t>
            </w:r>
            <w:r w:rsidR="00F210A2" w:rsidRPr="00621C49">
              <w:rPr>
                <w:color w:val="3A7C22" w:themeColor="accent6" w:themeShade="BF"/>
              </w:rPr>
              <w:t>a</w:t>
            </w:r>
            <w:r w:rsidR="004E5F4B" w:rsidRPr="00621C49">
              <w:rPr>
                <w:color w:val="3A7C22" w:themeColor="accent6" w:themeShade="BF"/>
              </w:rPr>
              <w:t xml:space="preserve"> possible solution could be </w:t>
            </w:r>
            <w:r w:rsidR="004E5F4B" w:rsidRPr="00621C49">
              <w:rPr>
                <w:b/>
                <w:bCs/>
                <w:color w:val="3A7C22" w:themeColor="accent6" w:themeShade="BF"/>
              </w:rPr>
              <w:t>two bars for each year</w:t>
            </w:r>
            <w:r w:rsidR="004E5F4B" w:rsidRPr="00621C49">
              <w:rPr>
                <w:color w:val="3A7C22" w:themeColor="accent6" w:themeShade="BF"/>
              </w:rPr>
              <w:t xml:space="preserve"> to compare average home prices and units sold.</w:t>
            </w:r>
            <w:r w:rsidR="00EA4372" w:rsidRPr="00621C49">
              <w:rPr>
                <w:color w:val="3A7C22" w:themeColor="accent6" w:themeShade="BF"/>
              </w:rPr>
              <w:t xml:space="preserve"> Another possible solution is to use </w:t>
            </w:r>
            <w:r w:rsidR="00EA4372" w:rsidRPr="00621C49">
              <w:rPr>
                <w:b/>
                <w:bCs/>
                <w:color w:val="3A7C22" w:themeColor="accent6" w:themeShade="BF"/>
              </w:rPr>
              <w:t>two separate visualizations</w:t>
            </w:r>
            <w:r w:rsidR="00EA4372" w:rsidRPr="00621C49">
              <w:rPr>
                <w:color w:val="3A7C22" w:themeColor="accent6" w:themeShade="BF"/>
              </w:rPr>
              <w:t xml:space="preserve"> for each metric.</w:t>
            </w:r>
          </w:p>
        </w:tc>
      </w:tr>
      <w:tr w:rsidR="00175537" w14:paraId="5DE4881F" w14:textId="77777777" w:rsidTr="00375E9A">
        <w:trPr>
          <w:trHeight w:val="2396"/>
        </w:trPr>
        <w:tc>
          <w:tcPr>
            <w:tcW w:w="4770" w:type="dxa"/>
          </w:tcPr>
          <w:p w14:paraId="521CA6C9" w14:textId="2BF3DB14" w:rsidR="00DB0158" w:rsidRPr="00810101" w:rsidRDefault="00896297" w:rsidP="0037341A">
            <w:pPr>
              <w:rPr>
                <w:b/>
                <w:bCs/>
                <w:i/>
                <w:iCs/>
                <w:color w:val="BF4E14" w:themeColor="accent2" w:themeShade="BF"/>
              </w:rPr>
            </w:pPr>
            <w:r w:rsidRPr="00810101">
              <w:rPr>
                <w:b/>
                <w:bCs/>
                <w:i/>
                <w:iCs/>
                <w:color w:val="BF4E14" w:themeColor="accent2" w:themeShade="BF"/>
              </w:rPr>
              <w:t>Ax</w:t>
            </w:r>
            <w:r w:rsidR="00073628">
              <w:rPr>
                <w:b/>
                <w:bCs/>
                <w:i/>
                <w:iCs/>
                <w:color w:val="BF4E14" w:themeColor="accent2" w:themeShade="BF"/>
              </w:rPr>
              <w:t>e</w:t>
            </w:r>
            <w:r w:rsidRPr="00810101">
              <w:rPr>
                <w:b/>
                <w:bCs/>
                <w:i/>
                <w:iCs/>
                <w:color w:val="BF4E14" w:themeColor="accent2" w:themeShade="BF"/>
              </w:rPr>
              <w:t>s Labe</w:t>
            </w:r>
            <w:r w:rsidR="00D632AF" w:rsidRPr="00810101">
              <w:rPr>
                <w:b/>
                <w:bCs/>
                <w:i/>
                <w:iCs/>
                <w:color w:val="BF4E14" w:themeColor="accent2" w:themeShade="BF"/>
              </w:rPr>
              <w:t>l</w:t>
            </w:r>
            <w:r w:rsidRPr="00810101">
              <w:rPr>
                <w:b/>
                <w:bCs/>
                <w:i/>
                <w:iCs/>
                <w:color w:val="BF4E14" w:themeColor="accent2" w:themeShade="BF"/>
              </w:rPr>
              <w:t>ing</w:t>
            </w:r>
            <w:r w:rsidR="00073628">
              <w:rPr>
                <w:b/>
                <w:bCs/>
                <w:i/>
                <w:iCs/>
                <w:color w:val="BF4E14" w:themeColor="accent2" w:themeShade="BF"/>
              </w:rPr>
              <w:t xml:space="preserve"> and Titles</w:t>
            </w:r>
          </w:p>
          <w:p w14:paraId="5B1ECFD5" w14:textId="70CDCCDF" w:rsidR="003D6506" w:rsidRPr="00810101" w:rsidRDefault="008E2C02" w:rsidP="0037341A">
            <w:pPr>
              <w:rPr>
                <w:i/>
                <w:iCs/>
                <w:color w:val="BF4E14" w:themeColor="accent2" w:themeShade="BF"/>
              </w:rPr>
            </w:pPr>
            <w:r w:rsidRPr="00810101">
              <w:rPr>
                <w:i/>
                <w:iCs/>
                <w:color w:val="BF4E14" w:themeColor="accent2" w:themeShade="BF"/>
              </w:rPr>
              <w:t>The chart’s X-axis currently displays the number of units sold each year, which is not an appropriate label for this axis given that the primary focus should be on comparing home prices over time. This mislabeling can confuse viewers by making it unclear whether the X-axis represents time or another metric.</w:t>
            </w:r>
            <w:r w:rsidR="00FC0969">
              <w:rPr>
                <w:i/>
                <w:iCs/>
                <w:color w:val="BF4E14" w:themeColor="accent2" w:themeShade="BF"/>
              </w:rPr>
              <w:t xml:space="preserve"> The Y – axis does not start with 0 for us to make accurate sense of the trend.</w:t>
            </w:r>
            <w:r w:rsidRPr="00810101">
              <w:rPr>
                <w:i/>
                <w:iCs/>
                <w:color w:val="BF4E14" w:themeColor="accent2" w:themeShade="BF"/>
              </w:rPr>
              <w:t xml:space="preserve"> Consequently, viewers may struggle to accurately interpret trends in average home prices across different years.</w:t>
            </w:r>
          </w:p>
        </w:tc>
        <w:tc>
          <w:tcPr>
            <w:tcW w:w="4860" w:type="dxa"/>
          </w:tcPr>
          <w:p w14:paraId="1B4CE8F8" w14:textId="12CDE9A6" w:rsidR="00DB0158" w:rsidRPr="00621C49" w:rsidRDefault="00231DBB" w:rsidP="00DB0158">
            <w:pPr>
              <w:rPr>
                <w:b/>
                <w:bCs/>
                <w:color w:val="3A7C22" w:themeColor="accent6" w:themeShade="BF"/>
              </w:rPr>
            </w:pPr>
            <w:r>
              <w:rPr>
                <w:b/>
                <w:bCs/>
                <w:color w:val="3A7C22" w:themeColor="accent6" w:themeShade="BF"/>
              </w:rPr>
              <w:t>Proper labeling for ax</w:t>
            </w:r>
            <w:r w:rsidR="001B7706">
              <w:rPr>
                <w:b/>
                <w:bCs/>
                <w:color w:val="3A7C22" w:themeColor="accent6" w:themeShade="BF"/>
              </w:rPr>
              <w:t>e</w:t>
            </w:r>
            <w:r>
              <w:rPr>
                <w:b/>
                <w:bCs/>
                <w:color w:val="3A7C22" w:themeColor="accent6" w:themeShade="BF"/>
              </w:rPr>
              <w:t xml:space="preserve">s </w:t>
            </w:r>
          </w:p>
          <w:p w14:paraId="48180E2C" w14:textId="145A18B5" w:rsidR="003123D1" w:rsidRPr="00621C49" w:rsidRDefault="007C2A9E" w:rsidP="00DB0158">
            <w:pPr>
              <w:rPr>
                <w:color w:val="3A7C22" w:themeColor="accent6" w:themeShade="BF"/>
              </w:rPr>
            </w:pPr>
            <w:r w:rsidRPr="007C2A9E">
              <w:rPr>
                <w:color w:val="3A7C22" w:themeColor="accent6" w:themeShade="BF"/>
              </w:rPr>
              <w:t xml:space="preserve">To improve clarity, the </w:t>
            </w:r>
            <w:r w:rsidRPr="00922442">
              <w:rPr>
                <w:b/>
                <w:bCs/>
                <w:color w:val="3A7C22" w:themeColor="accent6" w:themeShade="BF"/>
              </w:rPr>
              <w:t>X-axis should be labeled with the years</w:t>
            </w:r>
            <w:r w:rsidRPr="007C2A9E">
              <w:rPr>
                <w:color w:val="3A7C22" w:themeColor="accent6" w:themeShade="BF"/>
              </w:rPr>
              <w:t xml:space="preserve"> (e.g., 2020, 2021, 2022, 2023) rather than the number of units sold. This adjustment will correctly represent the passage of time</w:t>
            </w:r>
            <w:r w:rsidR="00F8525A">
              <w:rPr>
                <w:color w:val="3A7C22" w:themeColor="accent6" w:themeShade="BF"/>
              </w:rPr>
              <w:t xml:space="preserve">, </w:t>
            </w:r>
            <w:r w:rsidRPr="007C2A9E">
              <w:rPr>
                <w:color w:val="3A7C22" w:themeColor="accent6" w:themeShade="BF"/>
              </w:rPr>
              <w:t xml:space="preserve">allow viewers to </w:t>
            </w:r>
            <w:r w:rsidR="00DA6DAF" w:rsidRPr="007C2A9E">
              <w:rPr>
                <w:color w:val="3A7C22" w:themeColor="accent6" w:themeShade="BF"/>
              </w:rPr>
              <w:t>understand changes more easily</w:t>
            </w:r>
            <w:r w:rsidRPr="007C2A9E">
              <w:rPr>
                <w:color w:val="3A7C22" w:themeColor="accent6" w:themeShade="BF"/>
              </w:rPr>
              <w:t xml:space="preserve"> in average home prices over the specified years</w:t>
            </w:r>
            <w:r w:rsidR="00892E23">
              <w:rPr>
                <w:color w:val="3A7C22" w:themeColor="accent6" w:themeShade="BF"/>
              </w:rPr>
              <w:t xml:space="preserve"> and</w:t>
            </w:r>
            <w:r w:rsidRPr="007C2A9E">
              <w:rPr>
                <w:color w:val="3A7C22" w:themeColor="accent6" w:themeShade="BF"/>
              </w:rPr>
              <w:t xml:space="preserve"> focus on the temporal trend of home prices without confusing it with units sold.</w:t>
            </w:r>
            <w:r w:rsidR="00B853F6">
              <w:rPr>
                <w:color w:val="3A7C22" w:themeColor="accent6" w:themeShade="BF"/>
              </w:rPr>
              <w:t xml:space="preserve"> </w:t>
            </w:r>
          </w:p>
        </w:tc>
      </w:tr>
      <w:tr w:rsidR="00CB5CF8" w14:paraId="19DAFB89" w14:textId="77777777" w:rsidTr="00375E9A">
        <w:trPr>
          <w:trHeight w:val="290"/>
        </w:trPr>
        <w:tc>
          <w:tcPr>
            <w:tcW w:w="4770" w:type="dxa"/>
          </w:tcPr>
          <w:p w14:paraId="50DC2CED" w14:textId="6B3D1A8F" w:rsidR="00DB0158" w:rsidRPr="00810101" w:rsidRDefault="00A705A5" w:rsidP="0037341A">
            <w:pPr>
              <w:rPr>
                <w:b/>
                <w:bCs/>
                <w:i/>
                <w:iCs/>
                <w:color w:val="BF4E14" w:themeColor="accent2" w:themeShade="BF"/>
              </w:rPr>
            </w:pPr>
            <w:r w:rsidRPr="00810101">
              <w:rPr>
                <w:b/>
                <w:bCs/>
                <w:i/>
                <w:iCs/>
                <w:color w:val="BF4E14" w:themeColor="accent2" w:themeShade="BF"/>
              </w:rPr>
              <w:t xml:space="preserve">Misleading </w:t>
            </w:r>
            <w:r w:rsidR="00BC5521">
              <w:rPr>
                <w:b/>
                <w:bCs/>
                <w:i/>
                <w:iCs/>
                <w:color w:val="BF4E14" w:themeColor="accent2" w:themeShade="BF"/>
              </w:rPr>
              <w:t>trends</w:t>
            </w:r>
          </w:p>
          <w:p w14:paraId="2346FACF" w14:textId="5E91B9A1" w:rsidR="00A705A5" w:rsidRPr="00810101" w:rsidRDefault="00793085" w:rsidP="0037341A">
            <w:pPr>
              <w:rPr>
                <w:i/>
                <w:iCs/>
                <w:color w:val="BF4E14" w:themeColor="accent2" w:themeShade="BF"/>
              </w:rPr>
            </w:pPr>
            <w:r w:rsidRPr="00810101">
              <w:rPr>
                <w:i/>
                <w:iCs/>
                <w:color w:val="BF4E14" w:themeColor="accent2" w:themeShade="BF"/>
              </w:rPr>
              <w:t xml:space="preserve">The X – axis does not accurately categorize the units </w:t>
            </w:r>
            <w:r w:rsidR="00C00EB1" w:rsidRPr="00810101">
              <w:rPr>
                <w:i/>
                <w:iCs/>
                <w:color w:val="BF4E14" w:themeColor="accent2" w:themeShade="BF"/>
              </w:rPr>
              <w:t>sold;</w:t>
            </w:r>
            <w:r w:rsidRPr="00810101">
              <w:rPr>
                <w:i/>
                <w:iCs/>
                <w:color w:val="BF4E14" w:themeColor="accent2" w:themeShade="BF"/>
              </w:rPr>
              <w:t xml:space="preserve"> this can distort the viewer’s perception of the data. </w:t>
            </w:r>
            <w:r w:rsidR="00C00EB1" w:rsidRPr="00810101">
              <w:rPr>
                <w:i/>
                <w:iCs/>
                <w:color w:val="BF4E14" w:themeColor="accent2" w:themeShade="BF"/>
              </w:rPr>
              <w:t>Moreover, the number of units dols are printed beneath the bars.</w:t>
            </w:r>
            <w:r w:rsidR="008E69BC" w:rsidRPr="00810101">
              <w:rPr>
                <w:i/>
                <w:iCs/>
                <w:color w:val="BF4E14" w:themeColor="accent2" w:themeShade="BF"/>
              </w:rPr>
              <w:t xml:space="preserve"> If they are trying to show the relationship between home prices and units sold, it is not effectively communicated.</w:t>
            </w:r>
          </w:p>
        </w:tc>
        <w:tc>
          <w:tcPr>
            <w:tcW w:w="4860" w:type="dxa"/>
          </w:tcPr>
          <w:p w14:paraId="72F5A5B8" w14:textId="77777777" w:rsidR="00DB0158" w:rsidRPr="00621C49" w:rsidRDefault="00562EE4" w:rsidP="00DB0158">
            <w:pPr>
              <w:rPr>
                <w:b/>
                <w:bCs/>
                <w:color w:val="3A7C22" w:themeColor="accent6" w:themeShade="BF"/>
              </w:rPr>
            </w:pPr>
            <w:r w:rsidRPr="00621C49">
              <w:rPr>
                <w:b/>
                <w:bCs/>
                <w:color w:val="3A7C22" w:themeColor="accent6" w:themeShade="BF"/>
              </w:rPr>
              <w:t>Adding a line chart for complementary data</w:t>
            </w:r>
          </w:p>
          <w:p w14:paraId="7510A01A" w14:textId="7355FA7A" w:rsidR="00562EE4" w:rsidRPr="00621C49" w:rsidRDefault="00175537" w:rsidP="00DB0158">
            <w:pPr>
              <w:rPr>
                <w:color w:val="3A7C22" w:themeColor="accent6" w:themeShade="BF"/>
              </w:rPr>
            </w:pPr>
            <w:r>
              <w:rPr>
                <w:color w:val="3A7C22" w:themeColor="accent6" w:themeShade="BF"/>
              </w:rPr>
              <w:t xml:space="preserve">We </w:t>
            </w:r>
            <w:r w:rsidRPr="00175537">
              <w:rPr>
                <w:color w:val="3A7C22" w:themeColor="accent6" w:themeShade="BF"/>
              </w:rPr>
              <w:t xml:space="preserve">can use a bar chart to display average home prices per year and a </w:t>
            </w:r>
            <w:r w:rsidRPr="00922442">
              <w:rPr>
                <w:b/>
                <w:bCs/>
                <w:color w:val="3A7C22" w:themeColor="accent6" w:themeShade="BF"/>
              </w:rPr>
              <w:t>line chart to show the trend in units sold per year</w:t>
            </w:r>
            <w:r w:rsidRPr="00175537">
              <w:rPr>
                <w:color w:val="3A7C22" w:themeColor="accent6" w:themeShade="BF"/>
              </w:rPr>
              <w:t>. This approach clearly distinguishes between the two metrics and helps viewers understand their individual trends without confusion.</w:t>
            </w:r>
          </w:p>
        </w:tc>
      </w:tr>
    </w:tbl>
    <w:p w14:paraId="110A0E20" w14:textId="702FEFAF" w:rsidR="00BB59EB" w:rsidRPr="003D1260" w:rsidRDefault="00323A61" w:rsidP="00492B0F">
      <w:pPr>
        <w:pBdr>
          <w:bottom w:val="single" w:sz="4" w:space="1" w:color="auto"/>
        </w:pBdr>
        <w:rPr>
          <w:color w:val="404040" w:themeColor="text1" w:themeTint="BF"/>
          <w:sz w:val="28"/>
          <w:szCs w:val="28"/>
        </w:rPr>
      </w:pPr>
      <w:r w:rsidRPr="003D1260">
        <w:rPr>
          <w:color w:val="404040" w:themeColor="text1" w:themeTint="BF"/>
          <w:sz w:val="28"/>
          <w:szCs w:val="28"/>
        </w:rPr>
        <w:lastRenderedPageBreak/>
        <w:t>Updated</w:t>
      </w:r>
      <w:r w:rsidR="00AC0512" w:rsidRPr="003D1260">
        <w:rPr>
          <w:color w:val="404040" w:themeColor="text1" w:themeTint="BF"/>
          <w:sz w:val="28"/>
          <w:szCs w:val="28"/>
        </w:rPr>
        <w:t xml:space="preserve"> Visualizations</w:t>
      </w:r>
      <w:r w:rsidRPr="003D1260">
        <w:rPr>
          <w:color w:val="404040" w:themeColor="text1" w:themeTint="BF"/>
          <w:sz w:val="28"/>
          <w:szCs w:val="28"/>
        </w:rPr>
        <w:t>: A more effective approach</w:t>
      </w:r>
    </w:p>
    <w:p w14:paraId="29EF97EB" w14:textId="77777777" w:rsidR="00F40522" w:rsidRDefault="00F40522" w:rsidP="008021F0">
      <w:pPr>
        <w:rPr>
          <w:color w:val="404040" w:themeColor="text1" w:themeTint="BF"/>
        </w:rPr>
      </w:pPr>
    </w:p>
    <w:p w14:paraId="0106723D" w14:textId="345D1737" w:rsidR="002C7D24" w:rsidRDefault="004E3349" w:rsidP="008021F0">
      <w:pPr>
        <w:rPr>
          <w:color w:val="404040" w:themeColor="text1" w:themeTint="BF"/>
        </w:rPr>
      </w:pPr>
      <w:r>
        <w:rPr>
          <w:color w:val="404040" w:themeColor="text1" w:themeTint="BF"/>
        </w:rPr>
        <w:t xml:space="preserve">We can use separate visuals for the two metrics, average home prices and units sold. </w:t>
      </w:r>
      <w:r w:rsidR="0011779C">
        <w:rPr>
          <w:color w:val="404040" w:themeColor="text1" w:themeTint="BF"/>
        </w:rPr>
        <w:t>The revised graph</w:t>
      </w:r>
      <w:r w:rsidR="00F86AB8">
        <w:rPr>
          <w:color w:val="404040" w:themeColor="text1" w:themeTint="BF"/>
        </w:rPr>
        <w:t>, created using Microsoft Excel,</w:t>
      </w:r>
      <w:r w:rsidR="0011779C">
        <w:rPr>
          <w:color w:val="404040" w:themeColor="text1" w:themeTint="BF"/>
        </w:rPr>
        <w:t xml:space="preserve"> represents a significant improvement over the original version for several reasons.</w:t>
      </w:r>
    </w:p>
    <w:p w14:paraId="57A46498" w14:textId="77777777" w:rsidR="007D3E90" w:rsidRDefault="007D3E90" w:rsidP="008021F0">
      <w:pPr>
        <w:rPr>
          <w:color w:val="404040" w:themeColor="text1" w:themeTint="BF"/>
        </w:rPr>
      </w:pPr>
    </w:p>
    <w:p w14:paraId="0C84DE56" w14:textId="22BE01B3" w:rsidR="007D3E90" w:rsidRDefault="007D3E90" w:rsidP="008021F0">
      <w:pPr>
        <w:rPr>
          <w:color w:val="404040" w:themeColor="text1" w:themeTint="BF"/>
        </w:rPr>
      </w:pPr>
      <w:r>
        <w:rPr>
          <w:noProof/>
        </w:rPr>
        <w:drawing>
          <wp:inline distT="0" distB="0" distL="0" distR="0" wp14:anchorId="6E53FF39" wp14:editId="38137D13">
            <wp:extent cx="6115050" cy="4581525"/>
            <wp:effectExtent l="0" t="0" r="6350" b="3175"/>
            <wp:docPr id="110107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8274" name=""/>
                    <pic:cNvPicPr/>
                  </pic:nvPicPr>
                  <pic:blipFill>
                    <a:blip r:embed="rId9"/>
                    <a:stretch>
                      <a:fillRect/>
                    </a:stretch>
                  </pic:blipFill>
                  <pic:spPr>
                    <a:xfrm>
                      <a:off x="0" y="0"/>
                      <a:ext cx="6115050" cy="4581525"/>
                    </a:xfrm>
                    <a:prstGeom prst="rect">
                      <a:avLst/>
                    </a:prstGeom>
                  </pic:spPr>
                </pic:pic>
              </a:graphicData>
            </a:graphic>
          </wp:inline>
        </w:drawing>
      </w:r>
    </w:p>
    <w:p w14:paraId="7282F252" w14:textId="45339B3A" w:rsidR="007D3E90" w:rsidRDefault="007D3E90" w:rsidP="001D2AEE">
      <w:pPr>
        <w:jc w:val="center"/>
        <w:rPr>
          <w:i/>
          <w:iCs/>
          <w:color w:val="404040" w:themeColor="text1" w:themeTint="BF"/>
        </w:rPr>
      </w:pPr>
      <w:r w:rsidRPr="001D2AEE">
        <w:rPr>
          <w:i/>
          <w:iCs/>
          <w:color w:val="404040" w:themeColor="text1" w:themeTint="BF"/>
        </w:rPr>
        <w:t>Fig 2. Fixed Visualization with uniform X – axis and separate Y – axes</w:t>
      </w:r>
      <w:r w:rsidR="001D2AEE">
        <w:rPr>
          <w:i/>
          <w:iCs/>
          <w:color w:val="404040" w:themeColor="text1" w:themeTint="BF"/>
        </w:rPr>
        <w:t xml:space="preserve"> for clarity</w:t>
      </w:r>
    </w:p>
    <w:p w14:paraId="201C989B" w14:textId="77777777" w:rsidR="00492AEA" w:rsidRPr="00492AEA" w:rsidRDefault="00492AEA" w:rsidP="00492AEA">
      <w:pPr>
        <w:rPr>
          <w:color w:val="404040" w:themeColor="text1" w:themeTint="BF"/>
        </w:rPr>
      </w:pPr>
    </w:p>
    <w:p w14:paraId="07C9596B" w14:textId="15C3EC61" w:rsidR="00492AEA" w:rsidRDefault="00B24BE1" w:rsidP="00FE4A9F">
      <w:pPr>
        <w:spacing w:line="276" w:lineRule="auto"/>
        <w:rPr>
          <w:color w:val="404040" w:themeColor="text1" w:themeTint="BF"/>
        </w:rPr>
      </w:pPr>
      <w:r>
        <w:rPr>
          <w:color w:val="404040" w:themeColor="text1" w:themeTint="BF"/>
        </w:rPr>
        <w:t xml:space="preserve">The corrected X – axis </w:t>
      </w:r>
      <w:r w:rsidR="00D31505">
        <w:rPr>
          <w:color w:val="404040" w:themeColor="text1" w:themeTint="BF"/>
        </w:rPr>
        <w:t xml:space="preserve">in </w:t>
      </w:r>
      <w:r w:rsidR="00D31505" w:rsidRPr="00D31505">
        <w:rPr>
          <w:i/>
          <w:iCs/>
          <w:color w:val="404040" w:themeColor="text1" w:themeTint="BF"/>
        </w:rPr>
        <w:t>Fig 2</w:t>
      </w:r>
      <w:r w:rsidR="00D31505">
        <w:rPr>
          <w:color w:val="404040" w:themeColor="text1" w:themeTint="BF"/>
        </w:rPr>
        <w:t xml:space="preserve"> </w:t>
      </w:r>
      <w:r>
        <w:rPr>
          <w:color w:val="404040" w:themeColor="text1" w:themeTint="BF"/>
        </w:rPr>
        <w:t xml:space="preserve">just the year information accurately reflects the temporal dimension of the data and eliminates any confusion caused with the </w:t>
      </w:r>
      <w:r w:rsidRPr="00B24BE1">
        <w:rPr>
          <w:i/>
          <w:iCs/>
          <w:color w:val="404040" w:themeColor="text1" w:themeTint="BF"/>
        </w:rPr>
        <w:t>Fig 1</w:t>
      </w:r>
      <w:r>
        <w:rPr>
          <w:color w:val="404040" w:themeColor="text1" w:themeTint="BF"/>
        </w:rPr>
        <w:t>.</w:t>
      </w:r>
      <w:r w:rsidR="002D5A13">
        <w:rPr>
          <w:color w:val="404040" w:themeColor="text1" w:themeTint="BF"/>
        </w:rPr>
        <w:t xml:space="preserve"> </w:t>
      </w:r>
      <w:r w:rsidR="00D31505" w:rsidRPr="00D31505">
        <w:rPr>
          <w:i/>
          <w:iCs/>
          <w:color w:val="404040" w:themeColor="text1" w:themeTint="BF"/>
        </w:rPr>
        <w:t>Fig 2</w:t>
      </w:r>
      <w:r w:rsidR="004B18CF">
        <w:rPr>
          <w:i/>
          <w:iCs/>
          <w:color w:val="404040" w:themeColor="text1" w:themeTint="BF"/>
        </w:rPr>
        <w:t xml:space="preserve"> </w:t>
      </w:r>
      <w:r w:rsidR="007473A3">
        <w:rPr>
          <w:color w:val="404040" w:themeColor="text1" w:themeTint="BF"/>
        </w:rPr>
        <w:t xml:space="preserve">more effectively allows viewers to identify and analyze trends in the average home prices </w:t>
      </w:r>
      <w:r w:rsidR="00FE4A9F">
        <w:rPr>
          <w:color w:val="404040" w:themeColor="text1" w:themeTint="BF"/>
        </w:rPr>
        <w:t xml:space="preserve">and the units sold </w:t>
      </w:r>
      <w:r w:rsidR="007473A3">
        <w:rPr>
          <w:color w:val="404040" w:themeColor="text1" w:themeTint="BF"/>
        </w:rPr>
        <w:t>over time</w:t>
      </w:r>
      <w:r w:rsidR="00FE4A9F">
        <w:rPr>
          <w:color w:val="404040" w:themeColor="text1" w:themeTint="BF"/>
        </w:rPr>
        <w:t xml:space="preserve">. </w:t>
      </w:r>
      <w:r w:rsidR="007473A3">
        <w:rPr>
          <w:color w:val="404040" w:themeColor="text1" w:themeTint="BF"/>
        </w:rPr>
        <w:t xml:space="preserve">It is easier to see if the prices are increasing, </w:t>
      </w:r>
      <w:r w:rsidR="001F2C3B">
        <w:rPr>
          <w:color w:val="404040" w:themeColor="text1" w:themeTint="BF"/>
        </w:rPr>
        <w:t>decreasing,</w:t>
      </w:r>
      <w:r w:rsidR="007473A3">
        <w:rPr>
          <w:color w:val="404040" w:themeColor="text1" w:themeTint="BF"/>
        </w:rPr>
        <w:t xml:space="preserve"> or remaining stable</w:t>
      </w:r>
      <w:r w:rsidR="00FE4A9F">
        <w:rPr>
          <w:color w:val="404040" w:themeColor="text1" w:themeTint="BF"/>
        </w:rPr>
        <w:t xml:space="preserve"> and understand how market dynamics evolve each year.</w:t>
      </w:r>
    </w:p>
    <w:p w14:paraId="78168C56" w14:textId="77777777" w:rsidR="001F2C3B" w:rsidRDefault="001F2C3B" w:rsidP="00FE4A9F">
      <w:pPr>
        <w:spacing w:line="276" w:lineRule="auto"/>
        <w:rPr>
          <w:color w:val="404040" w:themeColor="text1" w:themeTint="BF"/>
        </w:rPr>
      </w:pPr>
    </w:p>
    <w:p w14:paraId="2C19A340" w14:textId="6D4C242A" w:rsidR="001F2C3B" w:rsidRDefault="001F2C3B" w:rsidP="00FE4A9F">
      <w:pPr>
        <w:spacing w:line="276" w:lineRule="auto"/>
        <w:rPr>
          <w:color w:val="404040" w:themeColor="text1" w:themeTint="BF"/>
        </w:rPr>
      </w:pPr>
      <w:r>
        <w:rPr>
          <w:color w:val="404040" w:themeColor="text1" w:themeTint="BF"/>
        </w:rPr>
        <w:t xml:space="preserve">The </w:t>
      </w:r>
      <w:r w:rsidR="00EF529D">
        <w:rPr>
          <w:color w:val="404040" w:themeColor="text1" w:themeTint="BF"/>
        </w:rPr>
        <w:t xml:space="preserve">use of dual axis for each metric provides a comprehensive view of the relationship between the two variables which can be studied further based on the influencing factors. </w:t>
      </w:r>
      <w:r w:rsidR="00455868" w:rsidRPr="00455868">
        <w:rPr>
          <w:color w:val="404040" w:themeColor="text1" w:themeTint="BF"/>
        </w:rPr>
        <w:t>This allows viewers to see how changes in average home prices correlate with changes in units sold.</w:t>
      </w:r>
      <w:r w:rsidR="0066326D">
        <w:rPr>
          <w:color w:val="404040" w:themeColor="text1" w:themeTint="BF"/>
        </w:rPr>
        <w:t xml:space="preserve"> The legend eliminates any ambiguity.</w:t>
      </w:r>
    </w:p>
    <w:p w14:paraId="0104A5FE" w14:textId="77777777" w:rsidR="00EA0AF0" w:rsidRDefault="00EA0AF0" w:rsidP="00FE4A9F">
      <w:pPr>
        <w:spacing w:line="276" w:lineRule="auto"/>
        <w:rPr>
          <w:color w:val="404040" w:themeColor="text1" w:themeTint="BF"/>
        </w:rPr>
      </w:pPr>
    </w:p>
    <w:p w14:paraId="5B2E197B" w14:textId="7F3FC200" w:rsidR="00EA0AF0" w:rsidRDefault="00EA0AF0" w:rsidP="00FE4A9F">
      <w:pPr>
        <w:spacing w:line="276" w:lineRule="auto"/>
        <w:rPr>
          <w:color w:val="404040" w:themeColor="text1" w:themeTint="BF"/>
        </w:rPr>
      </w:pPr>
      <w:r>
        <w:rPr>
          <w:color w:val="404040" w:themeColor="text1" w:themeTint="BF"/>
        </w:rPr>
        <w:lastRenderedPageBreak/>
        <w:t xml:space="preserve">The usage of bar chart and a line plot clearly separates the two metrics. </w:t>
      </w:r>
      <w:r w:rsidR="0041589F">
        <w:rPr>
          <w:color w:val="404040" w:themeColor="text1" w:themeTint="BF"/>
        </w:rPr>
        <w:t xml:space="preserve">This can be depicted with 2 different graphs as well. </w:t>
      </w:r>
      <w:r w:rsidR="00E7228B">
        <w:rPr>
          <w:color w:val="404040" w:themeColor="text1" w:themeTint="BF"/>
        </w:rPr>
        <w:t xml:space="preserve">This separation has reduced visual </w:t>
      </w:r>
      <w:r w:rsidR="004E521F">
        <w:rPr>
          <w:color w:val="404040" w:themeColor="text1" w:themeTint="BF"/>
        </w:rPr>
        <w:t>clutter,</w:t>
      </w:r>
      <w:r w:rsidR="00E7228B">
        <w:rPr>
          <w:color w:val="404040" w:themeColor="text1" w:themeTint="BF"/>
        </w:rPr>
        <w:t xml:space="preserve"> and each type of data is best suited to its nature; quantitative data with bars and trends with a line.</w:t>
      </w:r>
    </w:p>
    <w:p w14:paraId="15CD5B7B" w14:textId="77777777" w:rsidR="00455868" w:rsidRPr="00A137DD" w:rsidRDefault="00455868" w:rsidP="00492AEA">
      <w:pPr>
        <w:rPr>
          <w:color w:val="404040" w:themeColor="text1" w:themeTint="BF"/>
        </w:rPr>
      </w:pPr>
    </w:p>
    <w:p w14:paraId="363B01C8" w14:textId="77777777" w:rsidR="00F038AF" w:rsidRDefault="00F038AF" w:rsidP="008021F0">
      <w:pPr>
        <w:rPr>
          <w:color w:val="404040" w:themeColor="text1" w:themeTint="BF"/>
        </w:rPr>
      </w:pPr>
    </w:p>
    <w:p w14:paraId="38ACCC85" w14:textId="6EB33191" w:rsidR="001E7907" w:rsidRDefault="001E7907" w:rsidP="000D1AE9">
      <w:pPr>
        <w:pBdr>
          <w:bottom w:val="single" w:sz="4" w:space="1" w:color="auto"/>
        </w:pBdr>
        <w:rPr>
          <w:color w:val="404040" w:themeColor="text1" w:themeTint="BF"/>
        </w:rPr>
      </w:pPr>
      <w:r w:rsidRPr="003D1260">
        <w:rPr>
          <w:color w:val="404040" w:themeColor="text1" w:themeTint="BF"/>
          <w:sz w:val="28"/>
          <w:szCs w:val="28"/>
        </w:rPr>
        <w:t>Conclusion</w:t>
      </w:r>
    </w:p>
    <w:p w14:paraId="5E5E6CED" w14:textId="77777777" w:rsidR="001E7907" w:rsidRDefault="001E7907" w:rsidP="00FE4A9F">
      <w:pPr>
        <w:spacing w:line="276" w:lineRule="auto"/>
        <w:rPr>
          <w:color w:val="404040" w:themeColor="text1" w:themeTint="BF"/>
        </w:rPr>
      </w:pPr>
    </w:p>
    <w:p w14:paraId="0E8BF6E9" w14:textId="16442896" w:rsidR="000D1AE9" w:rsidRPr="002A6863" w:rsidRDefault="00484217" w:rsidP="00E67F7D">
      <w:pPr>
        <w:spacing w:line="276" w:lineRule="auto"/>
        <w:rPr>
          <w:color w:val="404040" w:themeColor="text1" w:themeTint="BF"/>
        </w:rPr>
      </w:pPr>
      <w:r w:rsidRPr="00484217">
        <w:rPr>
          <w:color w:val="404040" w:themeColor="text1" w:themeTint="BF"/>
        </w:rPr>
        <w:t xml:space="preserve">The original chart, while visually striking, misrepresents the data by truncating the Y-axis, combining two variables in a single visual, and </w:t>
      </w:r>
      <w:r w:rsidR="00FC1068">
        <w:rPr>
          <w:color w:val="404040" w:themeColor="text1" w:themeTint="BF"/>
        </w:rPr>
        <w:t>poor axis labeling</w:t>
      </w:r>
      <w:r w:rsidRPr="00484217">
        <w:rPr>
          <w:color w:val="404040" w:themeColor="text1" w:themeTint="BF"/>
        </w:rPr>
        <w:t>.</w:t>
      </w:r>
      <w:r>
        <w:rPr>
          <w:color w:val="404040" w:themeColor="text1" w:themeTint="BF"/>
        </w:rPr>
        <w:t xml:space="preserve"> </w:t>
      </w:r>
      <w:r w:rsidR="009A4CB5" w:rsidRPr="009A4CB5">
        <w:rPr>
          <w:color w:val="404040" w:themeColor="text1" w:themeTint="BF"/>
        </w:rPr>
        <w:t>By separating the metrics into distinct visualizations—using a bar chart for home prices and a line chart for units sold with dual Y-axes—the revised charts offer clearer insights. This approach eliminates ambiguity, accurately represents trends, and facilitates a better understanding of the relationship between the two variables</w:t>
      </w:r>
      <w:r w:rsidR="009A4CB5">
        <w:rPr>
          <w:color w:val="404040" w:themeColor="text1" w:themeTint="BF"/>
        </w:rPr>
        <w:t>.</w:t>
      </w:r>
      <w:r w:rsidR="00F66C16">
        <w:rPr>
          <w:color w:val="404040" w:themeColor="text1" w:themeTint="BF"/>
        </w:rPr>
        <w:t xml:space="preserve"> </w:t>
      </w:r>
      <w:r w:rsidR="00D75596" w:rsidRPr="00D75596">
        <w:rPr>
          <w:color w:val="404040" w:themeColor="text1" w:themeTint="BF"/>
        </w:rPr>
        <w:t xml:space="preserve">These changes help viewers better understand trends in the real estate market </w:t>
      </w:r>
      <w:r w:rsidR="00D644EE">
        <w:rPr>
          <w:color w:val="404040" w:themeColor="text1" w:themeTint="BF"/>
        </w:rPr>
        <w:t xml:space="preserve">in Greater Toronto Area </w:t>
      </w:r>
      <w:r w:rsidR="00D75596" w:rsidRPr="00D75596">
        <w:rPr>
          <w:color w:val="404040" w:themeColor="text1" w:themeTint="BF"/>
        </w:rPr>
        <w:t xml:space="preserve">and make informed interpretations </w:t>
      </w:r>
      <w:r w:rsidR="00874A9F">
        <w:rPr>
          <w:color w:val="404040" w:themeColor="text1" w:themeTint="BF"/>
        </w:rPr>
        <w:t xml:space="preserve">and decision – making </w:t>
      </w:r>
      <w:r w:rsidR="00D75596" w:rsidRPr="00D75596">
        <w:rPr>
          <w:color w:val="404040" w:themeColor="text1" w:themeTint="BF"/>
        </w:rPr>
        <w:t>based on the visualization.</w:t>
      </w:r>
    </w:p>
    <w:sectPr w:rsidR="000D1AE9" w:rsidRPr="002A6863" w:rsidSect="001609BE">
      <w:headerReference w:type="default" r:id="rId10"/>
      <w:pgSz w:w="12240" w:h="15840"/>
      <w:pgMar w:top="1323" w:right="1170" w:bottom="91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78B31" w14:textId="77777777" w:rsidR="0028732B" w:rsidRDefault="0028732B" w:rsidP="007155FD">
      <w:r>
        <w:separator/>
      </w:r>
    </w:p>
  </w:endnote>
  <w:endnote w:type="continuationSeparator" w:id="0">
    <w:p w14:paraId="1A59D6CE" w14:textId="77777777" w:rsidR="0028732B" w:rsidRDefault="0028732B" w:rsidP="00715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692A7" w14:textId="77777777" w:rsidR="0028732B" w:rsidRDefault="0028732B" w:rsidP="007155FD">
      <w:r>
        <w:separator/>
      </w:r>
    </w:p>
  </w:footnote>
  <w:footnote w:type="continuationSeparator" w:id="0">
    <w:p w14:paraId="6592E554" w14:textId="77777777" w:rsidR="0028732B" w:rsidRDefault="0028732B" w:rsidP="007155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2D60" w14:textId="1D12FD44" w:rsidR="007155FD" w:rsidRDefault="00C94AEB" w:rsidP="007155FD">
    <w:pPr>
      <w:pStyle w:val="Header"/>
      <w:tabs>
        <w:tab w:val="clear" w:pos="4680"/>
      </w:tabs>
    </w:pPr>
    <w:r>
      <w:t>Assignment 3: Fix it or Break it</w:t>
    </w:r>
    <w:r w:rsidR="007155FD">
      <w:tab/>
    </w:r>
    <w:r>
      <w:t>Neha Chede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56A3E"/>
    <w:multiLevelType w:val="hybridMultilevel"/>
    <w:tmpl w:val="4E6E6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2684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9C7"/>
    <w:rsid w:val="0002568E"/>
    <w:rsid w:val="0003086D"/>
    <w:rsid w:val="0004392E"/>
    <w:rsid w:val="0005345B"/>
    <w:rsid w:val="00053BD0"/>
    <w:rsid w:val="000662DC"/>
    <w:rsid w:val="00073628"/>
    <w:rsid w:val="00081464"/>
    <w:rsid w:val="00081478"/>
    <w:rsid w:val="000B3BBD"/>
    <w:rsid w:val="000D1778"/>
    <w:rsid w:val="000D1AE9"/>
    <w:rsid w:val="000E08E9"/>
    <w:rsid w:val="000E5309"/>
    <w:rsid w:val="000E7A64"/>
    <w:rsid w:val="0010194C"/>
    <w:rsid w:val="001126A6"/>
    <w:rsid w:val="0011779C"/>
    <w:rsid w:val="0013221C"/>
    <w:rsid w:val="00133CCF"/>
    <w:rsid w:val="001609BE"/>
    <w:rsid w:val="00170A22"/>
    <w:rsid w:val="00170F9F"/>
    <w:rsid w:val="00175537"/>
    <w:rsid w:val="001B7706"/>
    <w:rsid w:val="001C735B"/>
    <w:rsid w:val="001D2AEE"/>
    <w:rsid w:val="001E7907"/>
    <w:rsid w:val="001F2C3B"/>
    <w:rsid w:val="001F43AC"/>
    <w:rsid w:val="00213142"/>
    <w:rsid w:val="00231DBB"/>
    <w:rsid w:val="00235DA5"/>
    <w:rsid w:val="00255F58"/>
    <w:rsid w:val="00272A03"/>
    <w:rsid w:val="0028732B"/>
    <w:rsid w:val="00293890"/>
    <w:rsid w:val="002A6863"/>
    <w:rsid w:val="002C5C52"/>
    <w:rsid w:val="002C7D24"/>
    <w:rsid w:val="002D5A13"/>
    <w:rsid w:val="00301D53"/>
    <w:rsid w:val="003123D1"/>
    <w:rsid w:val="00323A61"/>
    <w:rsid w:val="00362E5E"/>
    <w:rsid w:val="00372122"/>
    <w:rsid w:val="0037341A"/>
    <w:rsid w:val="00375E9A"/>
    <w:rsid w:val="00376400"/>
    <w:rsid w:val="00382596"/>
    <w:rsid w:val="003C69C7"/>
    <w:rsid w:val="003D1260"/>
    <w:rsid w:val="003D6506"/>
    <w:rsid w:val="003E21C8"/>
    <w:rsid w:val="0041589F"/>
    <w:rsid w:val="00425FAF"/>
    <w:rsid w:val="00443877"/>
    <w:rsid w:val="00455868"/>
    <w:rsid w:val="00484217"/>
    <w:rsid w:val="00492AEA"/>
    <w:rsid w:val="00492B0F"/>
    <w:rsid w:val="004B18CF"/>
    <w:rsid w:val="004C18C2"/>
    <w:rsid w:val="004D024F"/>
    <w:rsid w:val="004E3349"/>
    <w:rsid w:val="004E521F"/>
    <w:rsid w:val="004E5F4B"/>
    <w:rsid w:val="005119A2"/>
    <w:rsid w:val="00522A7A"/>
    <w:rsid w:val="005269AF"/>
    <w:rsid w:val="00534B8A"/>
    <w:rsid w:val="00535B02"/>
    <w:rsid w:val="00537060"/>
    <w:rsid w:val="00542DAB"/>
    <w:rsid w:val="00556782"/>
    <w:rsid w:val="00556ED3"/>
    <w:rsid w:val="00562EE4"/>
    <w:rsid w:val="005C0CA8"/>
    <w:rsid w:val="005D6FAC"/>
    <w:rsid w:val="005E3B84"/>
    <w:rsid w:val="005F7C9E"/>
    <w:rsid w:val="00621C49"/>
    <w:rsid w:val="0063525F"/>
    <w:rsid w:val="00641FA3"/>
    <w:rsid w:val="0066326D"/>
    <w:rsid w:val="0066353C"/>
    <w:rsid w:val="006636DE"/>
    <w:rsid w:val="0068009C"/>
    <w:rsid w:val="0069059B"/>
    <w:rsid w:val="006938E6"/>
    <w:rsid w:val="00697C25"/>
    <w:rsid w:val="00697E74"/>
    <w:rsid w:val="006D141F"/>
    <w:rsid w:val="006E70B8"/>
    <w:rsid w:val="006F7538"/>
    <w:rsid w:val="007155FD"/>
    <w:rsid w:val="00731042"/>
    <w:rsid w:val="00740CC1"/>
    <w:rsid w:val="0074146C"/>
    <w:rsid w:val="00741495"/>
    <w:rsid w:val="007473A3"/>
    <w:rsid w:val="00761BEE"/>
    <w:rsid w:val="007652D9"/>
    <w:rsid w:val="007806AA"/>
    <w:rsid w:val="00793085"/>
    <w:rsid w:val="007A446B"/>
    <w:rsid w:val="007B63F0"/>
    <w:rsid w:val="007C2A9E"/>
    <w:rsid w:val="007D3E90"/>
    <w:rsid w:val="007D5EE0"/>
    <w:rsid w:val="007F1562"/>
    <w:rsid w:val="007F777B"/>
    <w:rsid w:val="008021F0"/>
    <w:rsid w:val="00810101"/>
    <w:rsid w:val="00833F55"/>
    <w:rsid w:val="00874A9F"/>
    <w:rsid w:val="00892E23"/>
    <w:rsid w:val="00896297"/>
    <w:rsid w:val="008B2EA1"/>
    <w:rsid w:val="008B6475"/>
    <w:rsid w:val="008C5956"/>
    <w:rsid w:val="008E2C02"/>
    <w:rsid w:val="008E69BC"/>
    <w:rsid w:val="008F0AD1"/>
    <w:rsid w:val="008F6BD5"/>
    <w:rsid w:val="008F7C06"/>
    <w:rsid w:val="00922442"/>
    <w:rsid w:val="00957787"/>
    <w:rsid w:val="00990BAA"/>
    <w:rsid w:val="009A4CB5"/>
    <w:rsid w:val="00A12ACC"/>
    <w:rsid w:val="00A137DD"/>
    <w:rsid w:val="00A22015"/>
    <w:rsid w:val="00A2778D"/>
    <w:rsid w:val="00A44A6A"/>
    <w:rsid w:val="00A51ABA"/>
    <w:rsid w:val="00A67F5A"/>
    <w:rsid w:val="00A705A5"/>
    <w:rsid w:val="00A852FA"/>
    <w:rsid w:val="00AA009E"/>
    <w:rsid w:val="00AB2BB9"/>
    <w:rsid w:val="00AC0512"/>
    <w:rsid w:val="00AD486F"/>
    <w:rsid w:val="00AE4D6B"/>
    <w:rsid w:val="00AF4EFF"/>
    <w:rsid w:val="00B24BE1"/>
    <w:rsid w:val="00B24D48"/>
    <w:rsid w:val="00B3539E"/>
    <w:rsid w:val="00B534FF"/>
    <w:rsid w:val="00B62757"/>
    <w:rsid w:val="00B62EF2"/>
    <w:rsid w:val="00B853F6"/>
    <w:rsid w:val="00BB28B5"/>
    <w:rsid w:val="00BB59EB"/>
    <w:rsid w:val="00BC5521"/>
    <w:rsid w:val="00BE78C6"/>
    <w:rsid w:val="00BF6E4F"/>
    <w:rsid w:val="00C00EB1"/>
    <w:rsid w:val="00C03151"/>
    <w:rsid w:val="00C3044F"/>
    <w:rsid w:val="00C323B1"/>
    <w:rsid w:val="00C438EB"/>
    <w:rsid w:val="00C94AEB"/>
    <w:rsid w:val="00C95376"/>
    <w:rsid w:val="00CA6E6B"/>
    <w:rsid w:val="00CB5CF8"/>
    <w:rsid w:val="00CF6EC6"/>
    <w:rsid w:val="00D232ED"/>
    <w:rsid w:val="00D31505"/>
    <w:rsid w:val="00D31531"/>
    <w:rsid w:val="00D3701E"/>
    <w:rsid w:val="00D54BC3"/>
    <w:rsid w:val="00D60E83"/>
    <w:rsid w:val="00D632AF"/>
    <w:rsid w:val="00D644EE"/>
    <w:rsid w:val="00D66924"/>
    <w:rsid w:val="00D740DC"/>
    <w:rsid w:val="00D75596"/>
    <w:rsid w:val="00D76519"/>
    <w:rsid w:val="00DA6DAF"/>
    <w:rsid w:val="00DB0158"/>
    <w:rsid w:val="00DB38CB"/>
    <w:rsid w:val="00DC7F06"/>
    <w:rsid w:val="00DE56B6"/>
    <w:rsid w:val="00DF1B17"/>
    <w:rsid w:val="00E0500B"/>
    <w:rsid w:val="00E17FC3"/>
    <w:rsid w:val="00E2497F"/>
    <w:rsid w:val="00E261B5"/>
    <w:rsid w:val="00E31082"/>
    <w:rsid w:val="00E43FF1"/>
    <w:rsid w:val="00E53118"/>
    <w:rsid w:val="00E61C17"/>
    <w:rsid w:val="00E67F7D"/>
    <w:rsid w:val="00E7228B"/>
    <w:rsid w:val="00E767DA"/>
    <w:rsid w:val="00E90907"/>
    <w:rsid w:val="00EA0AF0"/>
    <w:rsid w:val="00EA4372"/>
    <w:rsid w:val="00EB04C3"/>
    <w:rsid w:val="00EC11B2"/>
    <w:rsid w:val="00EC74A7"/>
    <w:rsid w:val="00ED7200"/>
    <w:rsid w:val="00EE1F6A"/>
    <w:rsid w:val="00EE2632"/>
    <w:rsid w:val="00EE61A1"/>
    <w:rsid w:val="00EF529D"/>
    <w:rsid w:val="00F038AF"/>
    <w:rsid w:val="00F06291"/>
    <w:rsid w:val="00F210A2"/>
    <w:rsid w:val="00F326B0"/>
    <w:rsid w:val="00F40522"/>
    <w:rsid w:val="00F66C16"/>
    <w:rsid w:val="00F8525A"/>
    <w:rsid w:val="00F86AB8"/>
    <w:rsid w:val="00F97D1D"/>
    <w:rsid w:val="00FC0969"/>
    <w:rsid w:val="00FC1068"/>
    <w:rsid w:val="00FD6CED"/>
    <w:rsid w:val="00FE1448"/>
    <w:rsid w:val="00FE4A9F"/>
    <w:rsid w:val="00FF2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64BA5"/>
  <w15:chartTrackingRefBased/>
  <w15:docId w15:val="{2DC047FF-51D6-8547-A5B0-89D0806C9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6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9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9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9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9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6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9C7"/>
    <w:rPr>
      <w:rFonts w:eastAsiaTheme="majorEastAsia" w:cstheme="majorBidi"/>
      <w:color w:val="272727" w:themeColor="text1" w:themeTint="D8"/>
    </w:rPr>
  </w:style>
  <w:style w:type="paragraph" w:styleId="Title">
    <w:name w:val="Title"/>
    <w:basedOn w:val="Normal"/>
    <w:next w:val="Normal"/>
    <w:link w:val="TitleChar"/>
    <w:uiPriority w:val="10"/>
    <w:qFormat/>
    <w:rsid w:val="003C69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9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9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69C7"/>
    <w:rPr>
      <w:i/>
      <w:iCs/>
      <w:color w:val="404040" w:themeColor="text1" w:themeTint="BF"/>
    </w:rPr>
  </w:style>
  <w:style w:type="paragraph" w:styleId="ListParagraph">
    <w:name w:val="List Paragraph"/>
    <w:basedOn w:val="Normal"/>
    <w:uiPriority w:val="34"/>
    <w:qFormat/>
    <w:rsid w:val="003C69C7"/>
    <w:pPr>
      <w:ind w:left="720"/>
      <w:contextualSpacing/>
    </w:pPr>
  </w:style>
  <w:style w:type="character" w:styleId="IntenseEmphasis">
    <w:name w:val="Intense Emphasis"/>
    <w:basedOn w:val="DefaultParagraphFont"/>
    <w:uiPriority w:val="21"/>
    <w:qFormat/>
    <w:rsid w:val="003C69C7"/>
    <w:rPr>
      <w:i/>
      <w:iCs/>
      <w:color w:val="0F4761" w:themeColor="accent1" w:themeShade="BF"/>
    </w:rPr>
  </w:style>
  <w:style w:type="paragraph" w:styleId="IntenseQuote">
    <w:name w:val="Intense Quote"/>
    <w:basedOn w:val="Normal"/>
    <w:next w:val="Normal"/>
    <w:link w:val="IntenseQuoteChar"/>
    <w:uiPriority w:val="30"/>
    <w:qFormat/>
    <w:rsid w:val="003C6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9C7"/>
    <w:rPr>
      <w:i/>
      <w:iCs/>
      <w:color w:val="0F4761" w:themeColor="accent1" w:themeShade="BF"/>
    </w:rPr>
  </w:style>
  <w:style w:type="character" w:styleId="IntenseReference">
    <w:name w:val="Intense Reference"/>
    <w:basedOn w:val="DefaultParagraphFont"/>
    <w:uiPriority w:val="32"/>
    <w:qFormat/>
    <w:rsid w:val="003C69C7"/>
    <w:rPr>
      <w:b/>
      <w:bCs/>
      <w:smallCaps/>
      <w:color w:val="0F4761" w:themeColor="accent1" w:themeShade="BF"/>
      <w:spacing w:val="5"/>
    </w:rPr>
  </w:style>
  <w:style w:type="paragraph" w:styleId="Header">
    <w:name w:val="header"/>
    <w:basedOn w:val="Normal"/>
    <w:link w:val="HeaderChar"/>
    <w:uiPriority w:val="99"/>
    <w:unhideWhenUsed/>
    <w:rsid w:val="007155FD"/>
    <w:pPr>
      <w:tabs>
        <w:tab w:val="center" w:pos="4680"/>
        <w:tab w:val="right" w:pos="9360"/>
      </w:tabs>
    </w:pPr>
  </w:style>
  <w:style w:type="character" w:customStyle="1" w:styleId="HeaderChar">
    <w:name w:val="Header Char"/>
    <w:basedOn w:val="DefaultParagraphFont"/>
    <w:link w:val="Header"/>
    <w:uiPriority w:val="99"/>
    <w:rsid w:val="007155FD"/>
  </w:style>
  <w:style w:type="paragraph" w:styleId="Footer">
    <w:name w:val="footer"/>
    <w:basedOn w:val="Normal"/>
    <w:link w:val="FooterChar"/>
    <w:uiPriority w:val="99"/>
    <w:unhideWhenUsed/>
    <w:rsid w:val="007155FD"/>
    <w:pPr>
      <w:tabs>
        <w:tab w:val="center" w:pos="4680"/>
        <w:tab w:val="right" w:pos="9360"/>
      </w:tabs>
    </w:pPr>
  </w:style>
  <w:style w:type="character" w:customStyle="1" w:styleId="FooterChar">
    <w:name w:val="Footer Char"/>
    <w:basedOn w:val="DefaultParagraphFont"/>
    <w:link w:val="Footer"/>
    <w:uiPriority w:val="99"/>
    <w:rsid w:val="007155FD"/>
  </w:style>
  <w:style w:type="table" w:styleId="TableGrid">
    <w:name w:val="Table Grid"/>
    <w:basedOn w:val="TableNormal"/>
    <w:uiPriority w:val="39"/>
    <w:rsid w:val="00DB0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E7A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E7A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E7A6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0E7A6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E7A6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41"/>
    <w:rsid w:val="00CB5C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4</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Chede, Neha Anil</dc:creator>
  <cp:keywords/>
  <dc:description/>
  <cp:lastModifiedBy>Chede, Neha Anil</cp:lastModifiedBy>
  <cp:revision>231</cp:revision>
  <dcterms:created xsi:type="dcterms:W3CDTF">2024-09-09T22:14:00Z</dcterms:created>
  <dcterms:modified xsi:type="dcterms:W3CDTF">2024-09-10T01:51:00Z</dcterms:modified>
</cp:coreProperties>
</file>