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 Cristian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 Arnd, Asima, Cristian, Neha, Sukanya, Dian, Prof. de Vries, Uchendu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Objectives: Decide the process we want to implement and gather feedback on our improved scenarios after the Mid-term presentation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17.06.2019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Results of the discussion</w:t>
      </w:r>
      <w:r w:rsidDel="00000000" w:rsidR="00000000" w:rsidRPr="00000000">
        <w:rPr>
          <w:rtl w:val="0"/>
        </w:rPr>
        <w:br w:type="textWrapping"/>
        <w:br w:type="textWrapping"/>
        <w:t xml:space="preserve">1. Including Family Members in the land buy/sell - Voting mechanisms. Include BC policies to give the votes of one family member more value than others. (Include 2 policies using Smart Contracts);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Think about incorporating both acceptance and applicability of the application;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Incentivise - two types - *Tangible* - Digitisation of Land , *Intangible* - Future Benefits (International Organisation Funding);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Rating System for providing future benefits (Intangible Incentives); Rating with tokens, no money conversion;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Voting with approval structure vs everybody votes (maybe with a weighting for family heads and community chiefs);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We must have a two-pager describing the outcome of our project.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