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"../../../../../../home/drsatya/Desktop/lab1/mat_pipeline.cpp" 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inner product of a row of A and col of B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PIPELINE II=1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res[i][j] += a[i][k] * b[k][j];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