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254EF5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52C7">
            <w:rPr>
              <w:rFonts w:ascii="Arial" w:hAnsi="Arial" w:cs="Arial"/>
              <w:b/>
              <w:sz w:val="26"/>
              <w:szCs w:val="26"/>
              <w:lang w:val="en-IN"/>
            </w:rPr>
            <w:t>28-11-2019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B152C7">
            <w:rPr>
              <w:rFonts w:ascii="Arial" w:hAnsi="Arial" w:cs="Arial"/>
              <w:b/>
              <w:sz w:val="26"/>
              <w:szCs w:val="26"/>
            </w:rPr>
            <w:t>Pirzade</w:t>
          </w:r>
          <w:proofErr w:type="spellEnd"/>
          <w:r w:rsidR="00B152C7">
            <w:rPr>
              <w:rFonts w:ascii="Arial" w:hAnsi="Arial" w:cs="Arial"/>
              <w:b/>
              <w:sz w:val="26"/>
              <w:szCs w:val="26"/>
            </w:rPr>
            <w:t xml:space="preserve"> Sana </w:t>
          </w:r>
          <w:proofErr w:type="spellStart"/>
          <w:r w:rsidR="00B152C7">
            <w:rPr>
              <w:rFonts w:ascii="Arial" w:hAnsi="Arial" w:cs="Arial"/>
              <w:b/>
              <w:sz w:val="26"/>
              <w:szCs w:val="26"/>
            </w:rPr>
            <w:t>Shoaib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52C7">
            <w:rPr>
              <w:rFonts w:ascii="Arial" w:hAnsi="Arial" w:cs="Arial"/>
              <w:b/>
              <w:sz w:val="26"/>
              <w:szCs w:val="26"/>
              <w:lang w:val="en-IN"/>
            </w:rPr>
            <w:t>17-10-2019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935FAF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</w:t>
      </w:r>
      <w:r w:rsidRPr="00935FAF">
        <w:rPr>
          <w:rFonts w:ascii="Arial" w:hAnsi="Arial" w:cs="Arial"/>
          <w:b/>
          <w:sz w:val="26"/>
          <w:szCs w:val="26"/>
        </w:rPr>
        <w:t>Adv. follow up for confirmation of pregnancy.</w:t>
      </w:r>
    </w:p>
    <w:p w:rsidR="00B22215" w:rsidRDefault="00254EF5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254EF5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254EF5" w:rsidP="00B22215">
      <w:pPr>
        <w:tabs>
          <w:tab w:val="left" w:pos="6675"/>
        </w:tabs>
      </w:pPr>
      <w:r w:rsidRPr="00254EF5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254EF5"/>
    <w:rsid w:val="0026207D"/>
    <w:rsid w:val="00305B60"/>
    <w:rsid w:val="006C7A3B"/>
    <w:rsid w:val="007F0817"/>
    <w:rsid w:val="00935FAF"/>
    <w:rsid w:val="0098451A"/>
    <w:rsid w:val="009F7AB1"/>
    <w:rsid w:val="00AB0EE8"/>
    <w:rsid w:val="00B152C7"/>
    <w:rsid w:val="00B22215"/>
    <w:rsid w:val="00C464E2"/>
    <w:rsid w:val="00DE28CD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0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840FDF"/>
    <w:rsid w:val="0085677C"/>
    <w:rsid w:val="009F21A6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2019-11-28T18:18:00Z</cp:lastPrinted>
  <dcterms:created xsi:type="dcterms:W3CDTF">2019-11-28T18:21:00Z</dcterms:created>
  <dcterms:modified xsi:type="dcterms:W3CDTF">2019-11-28T18:21:00Z</dcterms:modified>
</cp:coreProperties>
</file>