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524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AB524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BF4">
            <w:rPr>
              <w:rFonts w:ascii="Times New Roman" w:hAnsi="Times New Roman"/>
              <w:b/>
              <w:sz w:val="28"/>
              <w:szCs w:val="32"/>
              <w:lang w:val="en-IN"/>
            </w:rPr>
            <w:t>18-06-2019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453BF4">
            <w:rPr>
              <w:rFonts w:ascii="Times New Roman" w:hAnsi="Times New Roman"/>
              <w:b/>
              <w:sz w:val="28"/>
              <w:szCs w:val="32"/>
            </w:rPr>
            <w:t>Khandve</w:t>
          </w:r>
          <w:proofErr w:type="spellEnd"/>
          <w:r w:rsidR="00453BF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53BF4">
            <w:rPr>
              <w:rFonts w:ascii="Times New Roman" w:hAnsi="Times New Roman"/>
              <w:b/>
              <w:sz w:val="28"/>
              <w:szCs w:val="32"/>
            </w:rPr>
            <w:t>Chaitali</w:t>
          </w:r>
          <w:proofErr w:type="spellEnd"/>
          <w:r w:rsidR="00453BF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53BF4">
            <w:rPr>
              <w:rFonts w:ascii="Times New Roman" w:hAnsi="Times New Roman"/>
              <w:b/>
              <w:sz w:val="28"/>
              <w:szCs w:val="32"/>
            </w:rPr>
            <w:t>Mangesh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BF4">
            <w:rPr>
              <w:rFonts w:ascii="Times New Roman" w:hAnsi="Times New Roman"/>
              <w:b/>
              <w:sz w:val="28"/>
              <w:szCs w:val="32"/>
              <w:lang w:val="en-IN"/>
            </w:rPr>
            <w:t>12-03-2019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BF4">
            <w:rPr>
              <w:rFonts w:ascii="Times New Roman" w:hAnsi="Times New Roman"/>
              <w:b/>
              <w:sz w:val="28"/>
              <w:szCs w:val="32"/>
              <w:lang w:val="en-IN"/>
            </w:rPr>
            <w:t>19-12-2019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BF4">
            <w:rPr>
              <w:rFonts w:ascii="Times New Roman" w:hAnsi="Times New Roman"/>
              <w:b/>
              <w:sz w:val="28"/>
              <w:szCs w:val="32"/>
              <w:lang w:val="en-IN"/>
            </w:rPr>
            <w:t>17-12-2019</w:t>
          </w:r>
        </w:sdtContent>
      </w:sdt>
    </w:p>
    <w:p w:rsidR="00453BF4" w:rsidRDefault="00453BF4" w:rsidP="003E3AD8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A</w:t>
      </w:r>
      <w:proofErr w:type="gramEnd"/>
      <w:r>
        <w:rPr>
          <w:rFonts w:ascii="Arial" w:hAnsi="Arial" w:cs="Arial"/>
          <w:b/>
          <w:sz w:val="24"/>
          <w:szCs w:val="32"/>
        </w:rPr>
        <w:t xml:space="preserve"> intra uterine twin pregnancy with two separate gestational sac with separate fetus seen.</w:t>
      </w:r>
    </w:p>
    <w:p w:rsidR="00453BF4" w:rsidRDefault="00453BF4" w:rsidP="003E3AD8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Both fetus shows good cardiac activity &amp; movements.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 xml:space="preserve">  7.5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 xml:space="preserve">13.4 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 xml:space="preserve">7.7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 xml:space="preserve">  13.6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 xml:space="preserve"> 9.6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>13.6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453BF4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 xml:space="preserve">  9.9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453BF4">
              <w:rPr>
                <w:rFonts w:ascii="Arial" w:hAnsi="Arial" w:cs="Arial"/>
                <w:b/>
                <w:sz w:val="24"/>
                <w:szCs w:val="32"/>
              </w:rPr>
              <w:t>13.6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453BF4">
            <w:rPr>
              <w:rFonts w:ascii="Arial" w:hAnsi="Arial" w:cs="Arial"/>
              <w:b/>
              <w:sz w:val="24"/>
              <w:szCs w:val="32"/>
            </w:rPr>
            <w:t>13-14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453BF4" w:rsidRPr="00C75509" w:rsidRDefault="00453BF4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                   </w:t>
      </w:r>
      <w:proofErr w:type="spellStart"/>
      <w:proofErr w:type="gramStart"/>
      <w:r>
        <w:rPr>
          <w:rFonts w:ascii="Arial" w:hAnsi="Arial" w:cs="Arial"/>
          <w:b/>
          <w:sz w:val="24"/>
          <w:szCs w:val="32"/>
        </w:rPr>
        <w:t>Diamniotic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32"/>
        </w:rPr>
        <w:t>dichorionic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twins.</w:t>
      </w:r>
      <w:proofErr w:type="gramEnd"/>
    </w:p>
    <w:p w:rsidR="006A25F5" w:rsidRPr="001B45EE" w:rsidRDefault="00AB5249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52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AB5249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AB5249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56845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3BF4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6C17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B5249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D1400"/>
    <w:rsid w:val="00BF2158"/>
    <w:rsid w:val="00BF2BA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385405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2019-06-18T05:43:00Z</cp:lastPrinted>
  <dcterms:created xsi:type="dcterms:W3CDTF">2019-06-18T05:45:00Z</dcterms:created>
  <dcterms:modified xsi:type="dcterms:W3CDTF">2019-06-18T05:45:00Z</dcterms:modified>
</cp:coreProperties>
</file>