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2F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82F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4B04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34B04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E34B04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E34B04">
            <w:rPr>
              <w:rFonts w:ascii="Arial" w:hAnsi="Arial" w:cs="Arial"/>
              <w:b/>
              <w:sz w:val="24"/>
              <w:szCs w:val="24"/>
            </w:rPr>
            <w:t>Sajjan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E34B04">
        <w:rPr>
          <w:rFonts w:ascii="Arial" w:hAnsi="Arial" w:cs="Arial"/>
          <w:sz w:val="24"/>
          <w:szCs w:val="24"/>
        </w:rPr>
        <w:t>Estimation of gestational age (Dating).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4B04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4B04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4B04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34B04" w:rsidRDefault="00E34B04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Developing Placenta Posterior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34B0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34B04">
            <w:rPr>
              <w:rFonts w:ascii="Arial" w:hAnsi="Arial" w:cs="Arial"/>
              <w:b/>
              <w:sz w:val="24"/>
              <w:szCs w:val="24"/>
            </w:rPr>
            <w:t xml:space="preserve"> 15.2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34B0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34B04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34B04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2F51" w:rsidRPr="00882F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82F5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0D64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2F51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4B04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857B2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2020-04-03T06:16:00Z</cp:lastPrinted>
  <dcterms:created xsi:type="dcterms:W3CDTF">2020-04-03T06:16:00Z</dcterms:created>
  <dcterms:modified xsi:type="dcterms:W3CDTF">2020-04-03T06:16:00Z</dcterms:modified>
</cp:coreProperties>
</file>