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F185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5F185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8693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286938">
        <w:rPr>
          <w:rFonts w:ascii="Arial" w:hAnsi="Arial" w:cs="Arial"/>
          <w:b/>
          <w:sz w:val="24"/>
          <w:szCs w:val="24"/>
        </w:rPr>
        <w:t>11-12-15</w:t>
      </w:r>
    </w:p>
    <w:p w:rsidR="00B213D0" w:rsidRPr="0028693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86938">
        <w:rPr>
          <w:rFonts w:ascii="Arial" w:hAnsi="Arial" w:cs="Arial"/>
          <w:b/>
          <w:sz w:val="24"/>
          <w:szCs w:val="24"/>
        </w:rPr>
        <w:t>Balamurugan Nandhini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286938" w:rsidRDefault="00286938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286938">
        <w:rPr>
          <w:rFonts w:ascii="Arial" w:hAnsi="Arial" w:cs="Arial"/>
          <w:b/>
          <w:sz w:val="24"/>
          <w:szCs w:val="24"/>
        </w:rPr>
        <w:t>30-10-15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286938">
        <w:rPr>
          <w:rFonts w:ascii="Arial" w:hAnsi="Arial" w:cs="Arial"/>
          <w:b/>
          <w:sz w:val="24"/>
          <w:szCs w:val="24"/>
        </w:rPr>
        <w:t xml:space="preserve">         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9A4879">
        <w:rPr>
          <w:rFonts w:ascii="Arial" w:hAnsi="Arial" w:cs="Arial"/>
          <w:sz w:val="24"/>
          <w:szCs w:val="24"/>
        </w:rPr>
        <w:t xml:space="preserve">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</w:p>
    <w:p w:rsidR="00286938" w:rsidRDefault="00286938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no intra or extra uterine </w:t>
      </w:r>
      <w:r w:rsidR="005F1859">
        <w:rPr>
          <w:rFonts w:ascii="Arial" w:hAnsi="Arial" w:cs="Arial"/>
          <w:sz w:val="24"/>
          <w:szCs w:val="24"/>
        </w:rPr>
        <w:t xml:space="preserve">gestational sac </w:t>
      </w:r>
      <w:r>
        <w:rPr>
          <w:rFonts w:ascii="Arial" w:hAnsi="Arial" w:cs="Arial"/>
          <w:sz w:val="24"/>
          <w:szCs w:val="24"/>
        </w:rPr>
        <w:t xml:space="preserve"> seen</w:t>
      </w:r>
    </w:p>
    <w:p w:rsidR="00286938" w:rsidRDefault="00286938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lining thickened</w:t>
      </w:r>
      <w:r w:rsidR="005F185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Decidual reaction seen</w:t>
      </w:r>
    </w:p>
    <w:p w:rsidR="005F1859" w:rsidRDefault="005F185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Both ovaries are normal </w:t>
      </w:r>
    </w:p>
    <w:p w:rsidR="005F1859" w:rsidRDefault="005F185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e/o of free fluid seen in pouch of Douglas</w:t>
      </w:r>
    </w:p>
    <w:p w:rsidR="005F1859" w:rsidRDefault="005F185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F1859" w:rsidRDefault="005F185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Remarks</w:t>
      </w:r>
      <w:r w:rsidRPr="005F1859">
        <w:rPr>
          <w:rFonts w:ascii="Arial" w:hAnsi="Arial" w:cs="Arial"/>
          <w:b/>
          <w:sz w:val="24"/>
          <w:szCs w:val="24"/>
        </w:rPr>
        <w:t>.Thickened endometrium</w:t>
      </w:r>
      <w:r>
        <w:rPr>
          <w:rFonts w:ascii="Arial" w:hAnsi="Arial" w:cs="Arial"/>
          <w:sz w:val="24"/>
          <w:szCs w:val="24"/>
        </w:rPr>
        <w:t>.</w:t>
      </w:r>
    </w:p>
    <w:p w:rsidR="005F1859" w:rsidRPr="005F1859" w:rsidRDefault="005F1859" w:rsidP="005F1859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5F1859">
        <w:rPr>
          <w:rFonts w:ascii="Arial" w:hAnsi="Arial" w:cs="Arial"/>
          <w:b/>
          <w:sz w:val="24"/>
          <w:szCs w:val="24"/>
        </w:rPr>
        <w:t>Correlate clinically</w:t>
      </w:r>
    </w:p>
    <w:p w:rsidR="00016E84" w:rsidRPr="00286938" w:rsidRDefault="00286938" w:rsidP="005F185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86938">
        <w:rPr>
          <w:rFonts w:ascii="Arial" w:hAnsi="Arial" w:cs="Arial"/>
          <w:sz w:val="24"/>
          <w:szCs w:val="24"/>
        </w:rPr>
        <w:t>Adv- Follow up</w:t>
      </w:r>
      <w:r w:rsidR="005F1859">
        <w:rPr>
          <w:rFonts w:ascii="Arial" w:hAnsi="Arial" w:cs="Arial"/>
          <w:sz w:val="24"/>
          <w:szCs w:val="24"/>
        </w:rPr>
        <w:t xml:space="preserve"> for fetal viability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6A25F5" w:rsidRDefault="005F185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5F185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86938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F1859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BB08DC-80F7-4F36-A490-EE34834C2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2015-12-11T07:18:00Z</cp:lastPrinted>
  <dcterms:created xsi:type="dcterms:W3CDTF">2015-12-11T07:19:00Z</dcterms:created>
  <dcterms:modified xsi:type="dcterms:W3CDTF">2015-12-11T07:19:00Z</dcterms:modified>
</cp:coreProperties>
</file>