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BC6EF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6D17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6D17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C6EF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BD3895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BD3895">
        <w:rPr>
          <w:rFonts w:ascii="Times New Roman" w:hAnsi="Times New Roman"/>
          <w:b/>
          <w:sz w:val="28"/>
          <w:szCs w:val="32"/>
        </w:rPr>
        <w:t>11-2-17</w:t>
      </w:r>
    </w:p>
    <w:p w:rsidR="00003E1D" w:rsidRPr="00BD3895" w:rsidRDefault="00003E1D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BD3895">
        <w:rPr>
          <w:rFonts w:ascii="Times New Roman" w:hAnsi="Times New Roman"/>
          <w:sz w:val="28"/>
          <w:szCs w:val="32"/>
        </w:rPr>
        <w:t xml:space="preserve"> </w:t>
      </w:r>
      <w:r w:rsidR="00BD3895">
        <w:rPr>
          <w:rFonts w:ascii="Times New Roman" w:hAnsi="Times New Roman"/>
          <w:b/>
          <w:sz w:val="28"/>
          <w:szCs w:val="32"/>
        </w:rPr>
        <w:t>Gagde Pinkee Mahesh</w:t>
      </w:r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5B1289">
        <w:rPr>
          <w:rFonts w:ascii="Times New Roman" w:hAnsi="Times New Roman"/>
          <w:sz w:val="28"/>
          <w:szCs w:val="32"/>
        </w:rPr>
        <w:t>Self</w:t>
      </w:r>
      <w:r w:rsidR="00190596">
        <w:rPr>
          <w:rFonts w:ascii="Times New Roman" w:hAnsi="Times New Roman"/>
          <w:sz w:val="28"/>
          <w:szCs w:val="32"/>
        </w:rPr>
        <w:t xml:space="preserve"> </w:t>
      </w:r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3E7057">
        <w:rPr>
          <w:rFonts w:ascii="Times New Roman" w:hAnsi="Times New Roman"/>
          <w:sz w:val="28"/>
          <w:szCs w:val="32"/>
        </w:rPr>
        <w:t xml:space="preserve"> </w:t>
      </w:r>
      <w:r w:rsidR="0026586F" w:rsidRPr="00190596">
        <w:rPr>
          <w:rFonts w:ascii="Times New Roman" w:hAnsi="Times New Roman"/>
          <w:sz w:val="28"/>
          <w:szCs w:val="32"/>
        </w:rPr>
        <w:t>Jadhav)</w:t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</w:t>
      </w:r>
      <w:r w:rsidR="00BD3895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BD3895" w:rsidRPr="00BD3895" w:rsidRDefault="00BD3895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                                          </w:t>
      </w:r>
      <w:r>
        <w:rPr>
          <w:rFonts w:ascii="Times New Roman" w:hAnsi="Times New Roman"/>
          <w:sz w:val="28"/>
          <w:szCs w:val="32"/>
        </w:rPr>
        <w:t>Viability.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190596">
        <w:rPr>
          <w:rFonts w:ascii="Times New Roman" w:hAnsi="Times New Roman"/>
          <w:sz w:val="28"/>
          <w:szCs w:val="32"/>
        </w:rPr>
        <w:t xml:space="preserve"> </w:t>
      </w:r>
      <w:r w:rsidR="00BD3895">
        <w:rPr>
          <w:rFonts w:ascii="Times New Roman" w:hAnsi="Times New Roman"/>
          <w:b/>
          <w:sz w:val="28"/>
          <w:szCs w:val="32"/>
        </w:rPr>
        <w:t>5-11-16</w:t>
      </w:r>
      <w:r w:rsidR="00190596">
        <w:rPr>
          <w:rFonts w:ascii="Times New Roman" w:hAnsi="Times New Roman"/>
          <w:sz w:val="28"/>
          <w:szCs w:val="32"/>
        </w:rPr>
        <w:t xml:space="preserve">                      </w:t>
      </w:r>
      <w:r w:rsidR="006D7127">
        <w:rPr>
          <w:rFonts w:ascii="Times New Roman" w:hAnsi="Times New Roman"/>
          <w:sz w:val="28"/>
          <w:szCs w:val="32"/>
        </w:rPr>
        <w:t xml:space="preserve">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  </w:t>
      </w:r>
      <w:r w:rsidR="00BD3895">
        <w:rPr>
          <w:rFonts w:ascii="Times New Roman" w:hAnsi="Times New Roman"/>
          <w:b/>
          <w:sz w:val="24"/>
          <w:szCs w:val="24"/>
        </w:rPr>
        <w:t>15-8-17</w:t>
      </w:r>
      <w:r w:rsidR="006D7127" w:rsidRPr="00190596">
        <w:rPr>
          <w:rFonts w:ascii="Times New Roman" w:hAnsi="Times New Roman"/>
          <w:sz w:val="24"/>
          <w:szCs w:val="24"/>
        </w:rPr>
        <w:t xml:space="preserve">                      </w:t>
      </w:r>
      <w:r w:rsidRPr="00190596">
        <w:rPr>
          <w:rFonts w:ascii="Times New Roman" w:hAnsi="Times New Roman"/>
          <w:sz w:val="28"/>
          <w:szCs w:val="32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BD3895">
        <w:rPr>
          <w:rFonts w:ascii="Times New Roman" w:hAnsi="Times New Roman"/>
          <w:b/>
          <w:sz w:val="28"/>
          <w:szCs w:val="32"/>
        </w:rPr>
        <w:t>15-8-17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Ant</w:t>
            </w: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Post (F)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 w:firstRow="1" w:lastRow="0" w:firstColumn="1" w:lastColumn="0" w:noHBand="0" w:noVBand="1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2.3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13.6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2.4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cm   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14.1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1.3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BD3895" w:rsidRPr="00BD3895">
              <w:rPr>
                <w:rFonts w:ascii="Arial" w:hAnsi="Arial" w:cs="Arial"/>
                <w:b/>
                <w:sz w:val="24"/>
                <w:szCs w:val="32"/>
              </w:rPr>
              <w:t>13.6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1.3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 cm   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14.0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7.3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14.0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 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BD389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D3895">
              <w:rPr>
                <w:rFonts w:ascii="Arial" w:hAnsi="Arial" w:cs="Arial"/>
                <w:sz w:val="24"/>
                <w:szCs w:val="32"/>
              </w:rPr>
              <w:t xml:space="preserve">cm  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13.4</w:t>
            </w:r>
            <w:r w:rsidR="00BD389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80</w:t>
            </w:r>
            <w:r w:rsidR="00BD389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gms</w:t>
            </w:r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BD3895">
              <w:rPr>
                <w:rFonts w:ascii="Arial" w:hAnsi="Arial" w:cs="Arial"/>
                <w:b/>
                <w:sz w:val="24"/>
                <w:szCs w:val="32"/>
              </w:rPr>
              <w:t>88</w:t>
            </w:r>
            <w:r w:rsidR="00BD389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gms</w:t>
            </w:r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003E1D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</w:t>
      </w:r>
      <w:r w:rsidR="00BD3895">
        <w:rPr>
          <w:rFonts w:ascii="Arial" w:hAnsi="Arial" w:cs="Arial"/>
          <w:b/>
          <w:sz w:val="20"/>
          <w:szCs w:val="32"/>
        </w:rPr>
        <w:t>14-15</w:t>
      </w:r>
      <w:r w:rsidR="00BD3895">
        <w:rPr>
          <w:rFonts w:ascii="Arial" w:hAnsi="Arial" w:cs="Arial"/>
          <w:sz w:val="20"/>
          <w:szCs w:val="32"/>
        </w:rPr>
        <w:t xml:space="preserve">   </w:t>
      </w:r>
      <w:r w:rsidR="000F556D">
        <w:rPr>
          <w:rFonts w:ascii="Arial" w:hAnsi="Arial" w:cs="Arial"/>
          <w:sz w:val="20"/>
          <w:szCs w:val="32"/>
        </w:rPr>
        <w:t xml:space="preserve">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BD3895" w:rsidRPr="00BD3895" w:rsidRDefault="00BD3895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BD3895">
        <w:rPr>
          <w:rFonts w:ascii="Arial" w:hAnsi="Arial" w:cs="Arial"/>
          <w:b/>
          <w:sz w:val="20"/>
          <w:szCs w:val="32"/>
        </w:rPr>
        <w:t>Dichorionic Diamnlotic Twins</w:t>
      </w:r>
      <w:bookmarkStart w:id="0" w:name="_GoBack"/>
      <w:bookmarkEnd w:id="0"/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BC6EF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-6985</wp:posOffset>
                </wp:positionV>
                <wp:extent cx="6636385" cy="635"/>
                <wp:effectExtent l="12065" t="12065" r="9525" b="63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-.5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    </w:pict>
          </mc:Fallback>
        </mc:AlternateConten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</w:t>
      </w: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246E30" w:rsidRPr="00C444B9" w:rsidRDefault="00BC6EFD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30" w:rsidRPr="00D5285A" w:rsidRDefault="00D03D51" w:rsidP="00246E30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8B42C9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246E30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246E30" w:rsidRPr="00C3746D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246E30" w:rsidRPr="00D7441E" w:rsidRDefault="00246E30" w:rsidP="00246E3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246E30" w:rsidRPr="00D5285A" w:rsidRDefault="00D03D51" w:rsidP="00246E30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8B42C9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246E30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246E30" w:rsidRPr="00C3746D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246E30" w:rsidRPr="00D7441E" w:rsidRDefault="00246E30" w:rsidP="00246E3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46E30" w:rsidRDefault="00B5579E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246E30" w:rsidRPr="00D2654D">
        <w:rPr>
          <w:rFonts w:ascii="Mangal" w:hAnsi="Mangal" w:cs="Mangal"/>
          <w:sz w:val="20"/>
          <w:szCs w:val="20"/>
        </w:rPr>
        <w:t>दिनांक</w:t>
      </w:r>
      <w:r w:rsidR="00246E30">
        <w:rPr>
          <w:rFonts w:ascii="Mangal" w:hAnsi="Mangal" w:cs="Mangal"/>
          <w:sz w:val="28"/>
          <w:szCs w:val="24"/>
        </w:rPr>
        <w:t>: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B5579E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                  </w:t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246E30"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8312BB"/>
    <w:rsid w:val="00884FC9"/>
    <w:rsid w:val="008B42C9"/>
    <w:rsid w:val="008C1F66"/>
    <w:rsid w:val="00966E05"/>
    <w:rsid w:val="00994275"/>
    <w:rsid w:val="009C1CA4"/>
    <w:rsid w:val="00AC14CF"/>
    <w:rsid w:val="00AD7886"/>
    <w:rsid w:val="00B5579E"/>
    <w:rsid w:val="00B66C06"/>
    <w:rsid w:val="00B86EE5"/>
    <w:rsid w:val="00B94285"/>
    <w:rsid w:val="00B9530E"/>
    <w:rsid w:val="00BC6EFD"/>
    <w:rsid w:val="00BD1400"/>
    <w:rsid w:val="00BD3895"/>
    <w:rsid w:val="00C444B9"/>
    <w:rsid w:val="00CD2B02"/>
    <w:rsid w:val="00CD69EE"/>
    <w:rsid w:val="00D00874"/>
    <w:rsid w:val="00D01853"/>
    <w:rsid w:val="00D03D51"/>
    <w:rsid w:val="00D4652F"/>
    <w:rsid w:val="00D7441E"/>
    <w:rsid w:val="00DB50E1"/>
    <w:rsid w:val="00E01BD1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0754B8-2DB6-47F9-B589-5514C0BE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2017-02-11T15:25:00Z</cp:lastPrinted>
  <dcterms:created xsi:type="dcterms:W3CDTF">2017-02-11T15:26:00Z</dcterms:created>
  <dcterms:modified xsi:type="dcterms:W3CDTF">2017-02-11T15:26:00Z</dcterms:modified>
</cp:coreProperties>
</file>