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F4E78"/>
          <w:sz w:val="40"/>
        </w:rPr>
        <w:t>Week 2 Task: Data Collection, Cleaning, and Preprocessing for Logistics Analysis</w:t>
      </w:r>
    </w:p>
    <w:p>
      <w:pPr>
        <w:spacing w:after="360"/>
      </w:pPr>
      <w:r>
        <w:rPr>
          <w:rFonts w:ascii="Arial" w:hAnsi="Arial"/>
          <w:i/>
          <w:color w:val="595959"/>
          <w:sz w:val="22"/>
        </w:rPr>
        <w:t>Technical Documentation &amp; Pipeline Implementation | Yuva Intern &amp; NSDC Project</w:t>
      </w:r>
    </w:p>
    <w:tbl>
      <w:tblPr>
        <w:tblW w:type="auto" w:w="0"/>
        <w:jc w:val="center"/>
        <w:tblLook w:firstColumn="1" w:firstRow="1" w:lastColumn="0" w:lastRow="0" w:noHBand="0" w:noVBand="1" w:val="04A0"/>
      </w:tblPr>
      <w:tblGrid>
        <w:gridCol w:w="4680"/>
        <w:gridCol w:w="4680"/>
      </w:tblGrid>
      <w:tr>
        <w:tc>
          <w:tcPr>
            <w:tcW w:type="dxa" w:w="4680"/>
            <w:shd w:fill="F2F4F7"/>
            <w:tcMar>
              <w:top w:w="80" w:type="dxa"/>
              <w:bottom w:w="80" w:type="dxa"/>
              <w:left w:w="120" w:type="dxa"/>
              <w:right w:w="120" w:type="dxa"/>
            </w:tcMar>
          </w:tcPr>
          <w:p>
            <w:pPr>
              <w:spacing w:before="40" w:after="40"/>
            </w:pPr>
            <w:r>
              <w:rPr>
                <w:rFonts w:ascii="Arial" w:hAnsi="Arial"/>
                <w:b/>
                <w:color w:val="1F4E78"/>
                <w:sz w:val="19"/>
              </w:rPr>
              <w:t xml:space="preserve">Domain: </w:t>
            </w:r>
            <w:r>
              <w:rPr>
                <w:rFonts w:ascii="Arial" w:hAnsi="Arial"/>
                <w:color w:val="333333"/>
                <w:sz w:val="19"/>
              </w:rPr>
              <w:t>Logistics &amp; Supply Chain Analytics</w:t>
            </w:r>
          </w:p>
        </w:tc>
        <w:tc>
          <w:tcPr>
            <w:tcW w:type="dxa" w:w="4680"/>
            <w:shd w:fill="F2F4F7"/>
            <w:tcMar>
              <w:top w:w="80" w:type="dxa"/>
              <w:bottom w:w="80" w:type="dxa"/>
              <w:left w:w="120" w:type="dxa"/>
              <w:right w:w="120" w:type="dxa"/>
            </w:tcMar>
          </w:tcPr>
          <w:p>
            <w:pPr>
              <w:spacing w:before="40" w:after="40"/>
            </w:pPr>
            <w:r>
              <w:rPr>
                <w:rFonts w:ascii="Arial" w:hAnsi="Arial"/>
                <w:b/>
                <w:color w:val="1F4E78"/>
                <w:sz w:val="19"/>
              </w:rPr>
              <w:t xml:space="preserve">Tools Used: </w:t>
            </w:r>
            <w:r>
              <w:rPr>
                <w:rFonts w:ascii="Arial" w:hAnsi="Arial"/>
                <w:color w:val="333333"/>
                <w:sz w:val="19"/>
              </w:rPr>
              <w:t>Python 3.x, Pandas, NumPy, Scikit-Learn</w:t>
            </w:r>
          </w:p>
        </w:tc>
      </w:tr>
      <w:tr>
        <w:tc>
          <w:tcPr>
            <w:tcW w:type="dxa" w:w="4680"/>
            <w:shd w:fill="F2F4F7"/>
            <w:tcMar>
              <w:top w:w="80" w:type="dxa"/>
              <w:bottom w:w="80" w:type="dxa"/>
              <w:left w:w="120" w:type="dxa"/>
              <w:right w:w="120" w:type="dxa"/>
            </w:tcMar>
          </w:tcPr>
          <w:p>
            <w:pPr>
              <w:spacing w:before="40" w:after="40"/>
            </w:pPr>
            <w:r>
              <w:rPr>
                <w:rFonts w:ascii="Arial" w:hAnsi="Arial"/>
                <w:b/>
                <w:color w:val="1F4E78"/>
                <w:sz w:val="19"/>
              </w:rPr>
              <w:t xml:space="preserve">Task Focus: </w:t>
            </w:r>
            <w:r>
              <w:rPr>
                <w:rFonts w:ascii="Arial" w:hAnsi="Arial"/>
                <w:color w:val="333333"/>
                <w:sz w:val="19"/>
              </w:rPr>
              <w:t>Data Cleaning, Imputation, Outlier Handling, Normalization</w:t>
            </w:r>
          </w:p>
        </w:tc>
        <w:tc>
          <w:tcPr>
            <w:tcW w:type="dxa" w:w="4680"/>
            <w:shd w:fill="F2F4F7"/>
            <w:tcMar>
              <w:top w:w="80" w:type="dxa"/>
              <w:bottom w:w="80" w:type="dxa"/>
              <w:left w:w="120" w:type="dxa"/>
              <w:right w:w="120" w:type="dxa"/>
            </w:tcMar>
          </w:tcPr>
          <w:p>
            <w:pPr>
              <w:spacing w:before="40" w:after="40"/>
            </w:pPr>
            <w:r>
              <w:rPr>
                <w:rFonts w:ascii="Arial" w:hAnsi="Arial"/>
                <w:b/>
                <w:color w:val="1F4E78"/>
                <w:sz w:val="19"/>
              </w:rPr>
              <w:t xml:space="preserve">Submission Format: </w:t>
            </w:r>
            <w:r>
              <w:rPr>
                <w:rFonts w:ascii="Arial" w:hAnsi="Arial"/>
                <w:color w:val="333333"/>
                <w:sz w:val="19"/>
              </w:rPr>
              <w:t>Comprehensive Technical Report (.docx)</w:t>
            </w:r>
          </w:p>
        </w:tc>
      </w:tr>
    </w:tbl>
    <w:p>
      <w:pPr>
        <w:spacing w:after="240"/>
      </w:pPr>
    </w:p>
    <w:p>
      <w:pPr>
        <w:keepNext/>
        <w:spacing w:before="320" w:after="120"/>
      </w:pPr>
      <w:r>
        <w:rPr>
          <w:rFonts w:ascii="Arial" w:hAnsi="Arial"/>
          <w:b/>
          <w:color w:val="1F4E78"/>
          <w:sz w:val="28"/>
        </w:rPr>
        <w:t>1. Executive Objective</w:t>
      </w:r>
    </w:p>
    <w:p>
      <w:pPr>
        <w:spacing w:before="0" w:after="120" w:line="276" w:lineRule="auto"/>
      </w:pPr>
      <w:r>
        <w:rPr>
          <w:rFonts w:ascii="Arial" w:hAnsi="Arial"/>
          <w:color w:val="262626"/>
          <w:sz w:val="21"/>
        </w:rPr>
        <w:t>In supply chain and logistics operations, data collected from various touchpoints (such as GPS tracking, warehouse management systems, and order entries) is frequently susceptible to anomalies, missing values, duplicate entries, and inconsistent scales. Raw logistics data can lead to skewed operational metrics, inaccurate delivery predictions, and suboptimal route planning.</w:t>
      </w:r>
    </w:p>
    <w:p>
      <w:pPr>
        <w:spacing w:before="0" w:after="120" w:line="276" w:lineRule="auto"/>
      </w:pPr>
      <w:r>
        <w:rPr>
          <w:rFonts w:ascii="Arial" w:hAnsi="Arial"/>
          <w:color w:val="262626"/>
          <w:sz w:val="21"/>
        </w:rPr>
        <w:t>This project simulates a complete, end-to-end Python preprocessing pipeline specifically tailored for logistics data. The goal is to ingest a realistic supply chain dataset containing multi-modal features, identify data quality defects, apply robust domain-specific remediation techniques (imputation, IQR outlier handling, scale normalization), and output a high-quality dataset ready for machine learning and decision analytics.</w:t>
      </w:r>
    </w:p>
    <w:p>
      <w:pPr>
        <w:keepNext/>
        <w:spacing w:before="320" w:after="120"/>
      </w:pPr>
      <w:r>
        <w:rPr>
          <w:rFonts w:ascii="Arial" w:hAnsi="Arial"/>
          <w:b/>
          <w:color w:val="1F4E78"/>
          <w:sz w:val="28"/>
        </w:rPr>
        <w:t>2. Data Collection &amp; Dataset Characteristics</w:t>
      </w:r>
    </w:p>
    <w:p>
      <w:pPr>
        <w:spacing w:before="0" w:after="120" w:line="276" w:lineRule="auto"/>
      </w:pPr>
      <w:r>
        <w:rPr>
          <w:rFonts w:ascii="Arial" w:hAnsi="Arial"/>
          <w:color w:val="262626"/>
          <w:sz w:val="21"/>
        </w:rPr>
        <w:t>To evaluate the preprocessing pipeline, a synthetic logistics dataset was simulated based on publicly available supply chain benchmark structures (e.g., Global Supply Chain &amp; Freight Shipments). The dataset consists of 1,000 shipment records with both numerical and categorical attributes representing key operational metrics.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8"/>
            <w:tcMar>
              <w:top w:w="100" w:type="dxa"/>
              <w:bottom w:w="100" w:type="dxa"/>
              <w:left w:w="100" w:type="dxa"/>
              <w:right w:w="100" w:type="dxa"/>
            </w:tcMar>
          </w:tcPr>
          <w:p>
            <w:pPr>
              <w:jc w:val="left"/>
            </w:pPr>
            <w:r>
              <w:rPr>
                <w:rFonts w:ascii="Arial" w:hAnsi="Arial"/>
                <w:b/>
                <w:color w:val="FFFFFF"/>
                <w:sz w:val="20"/>
              </w:rPr>
              <w:t>Feature Name</w:t>
            </w:r>
          </w:p>
        </w:tc>
        <w:tc>
          <w:tcPr>
            <w:tcW w:type="dxa" w:w="2340"/>
            <w:shd w:fill="1F4E78"/>
            <w:tcMar>
              <w:top w:w="100" w:type="dxa"/>
              <w:bottom w:w="100" w:type="dxa"/>
              <w:left w:w="100" w:type="dxa"/>
              <w:right w:w="100" w:type="dxa"/>
            </w:tcMar>
          </w:tcPr>
          <w:p>
            <w:pPr>
              <w:jc w:val="left"/>
            </w:pPr>
            <w:r>
              <w:rPr>
                <w:rFonts w:ascii="Arial" w:hAnsi="Arial"/>
                <w:b/>
                <w:color w:val="FFFFFF"/>
                <w:sz w:val="20"/>
              </w:rPr>
              <w:t>Data Type</w:t>
            </w:r>
          </w:p>
        </w:tc>
        <w:tc>
          <w:tcPr>
            <w:tcW w:type="dxa" w:w="2340"/>
            <w:shd w:fill="1F4E78"/>
            <w:tcMar>
              <w:top w:w="100" w:type="dxa"/>
              <w:bottom w:w="100" w:type="dxa"/>
              <w:left w:w="100" w:type="dxa"/>
              <w:right w:w="100" w:type="dxa"/>
            </w:tcMar>
          </w:tcPr>
          <w:p>
            <w:pPr>
              <w:jc w:val="left"/>
            </w:pPr>
            <w:r>
              <w:rPr>
                <w:rFonts w:ascii="Arial" w:hAnsi="Arial"/>
                <w:b/>
                <w:color w:val="FFFFFF"/>
                <w:sz w:val="20"/>
              </w:rPr>
              <w:t>Logistics Context</w:t>
            </w:r>
          </w:p>
        </w:tc>
        <w:tc>
          <w:tcPr>
            <w:tcW w:type="dxa" w:w="2340"/>
            <w:shd w:fill="1F4E78"/>
            <w:tcMar>
              <w:top w:w="100" w:type="dxa"/>
              <w:bottom w:w="100" w:type="dxa"/>
              <w:left w:w="100" w:type="dxa"/>
              <w:right w:w="100" w:type="dxa"/>
            </w:tcMar>
          </w:tcPr>
          <w:p>
            <w:pPr>
              <w:jc w:val="left"/>
            </w:pPr>
            <w:r>
              <w:rPr>
                <w:rFonts w:ascii="Arial" w:hAnsi="Arial"/>
                <w:b/>
                <w:color w:val="FFFFFF"/>
                <w:sz w:val="20"/>
              </w:rPr>
              <w:t>Simulated Issues</w:t>
            </w:r>
          </w:p>
        </w:tc>
      </w:tr>
      <w:tr>
        <w:tc>
          <w:tcPr>
            <w:tcW w:type="dxa" w:w="2340"/>
            <w:shd w:fill="F9FAFB"/>
            <w:tcMar>
              <w:top w:w="80" w:type="dxa"/>
              <w:bottom w:w="80" w:type="dxa"/>
              <w:left w:w="100" w:type="dxa"/>
              <w:right w:w="100" w:type="dxa"/>
            </w:tcMar>
          </w:tcPr>
          <w:p>
            <w:r>
              <w:rPr>
                <w:rFonts w:ascii="Arial" w:hAnsi="Arial"/>
                <w:color w:val="333333"/>
                <w:sz w:val="19"/>
              </w:rPr>
              <w:t>Shipment_ID</w:t>
            </w:r>
          </w:p>
        </w:tc>
        <w:tc>
          <w:tcPr>
            <w:tcW w:type="dxa" w:w="2340"/>
            <w:shd w:fill="F9FAFB"/>
            <w:tcMar>
              <w:top w:w="80" w:type="dxa"/>
              <w:bottom w:w="80" w:type="dxa"/>
              <w:left w:w="100" w:type="dxa"/>
              <w:right w:w="100" w:type="dxa"/>
            </w:tcMar>
          </w:tcPr>
          <w:p>
            <w:r>
              <w:rPr>
                <w:rFonts w:ascii="Arial" w:hAnsi="Arial"/>
                <w:color w:val="333333"/>
                <w:sz w:val="19"/>
              </w:rPr>
              <w:t>String</w:t>
            </w:r>
          </w:p>
        </w:tc>
        <w:tc>
          <w:tcPr>
            <w:tcW w:type="dxa" w:w="2340"/>
            <w:shd w:fill="F9FAFB"/>
            <w:tcMar>
              <w:top w:w="80" w:type="dxa"/>
              <w:bottom w:w="80" w:type="dxa"/>
              <w:left w:w="100" w:type="dxa"/>
              <w:right w:w="100" w:type="dxa"/>
            </w:tcMar>
          </w:tcPr>
          <w:p>
            <w:r>
              <w:rPr>
                <w:rFonts w:ascii="Arial" w:hAnsi="Arial"/>
                <w:color w:val="333333"/>
                <w:sz w:val="19"/>
              </w:rPr>
              <w:t>Unique tracking identifier for shipment</w:t>
            </w:r>
          </w:p>
        </w:tc>
        <w:tc>
          <w:tcPr>
            <w:tcW w:type="dxa" w:w="2340"/>
            <w:shd w:fill="F9FAFB"/>
            <w:tcMar>
              <w:top w:w="80" w:type="dxa"/>
              <w:bottom w:w="80" w:type="dxa"/>
              <w:left w:w="100" w:type="dxa"/>
              <w:right w:w="100" w:type="dxa"/>
            </w:tcMar>
          </w:tcPr>
          <w:p>
            <w:r>
              <w:rPr>
                <w:rFonts w:ascii="Arial" w:hAnsi="Arial"/>
                <w:color w:val="333333"/>
                <w:sz w:val="19"/>
              </w:rPr>
              <w:t>None (Primary Key)</w:t>
            </w:r>
          </w:p>
        </w:tc>
      </w:tr>
      <w:tr>
        <w:tc>
          <w:tcPr>
            <w:tcW w:type="dxa" w:w="2340"/>
            <w:shd w:fill="FFFFFF"/>
            <w:tcMar>
              <w:top w:w="80" w:type="dxa"/>
              <w:bottom w:w="80" w:type="dxa"/>
              <w:left w:w="100" w:type="dxa"/>
              <w:right w:w="100" w:type="dxa"/>
            </w:tcMar>
          </w:tcPr>
          <w:p>
            <w:r>
              <w:rPr>
                <w:rFonts w:ascii="Arial" w:hAnsi="Arial"/>
                <w:color w:val="333333"/>
                <w:sz w:val="19"/>
              </w:rPr>
              <w:t>Weight_KG</w:t>
            </w:r>
          </w:p>
        </w:tc>
        <w:tc>
          <w:tcPr>
            <w:tcW w:type="dxa" w:w="2340"/>
            <w:shd w:fill="FFFFFF"/>
            <w:tcMar>
              <w:top w:w="80" w:type="dxa"/>
              <w:bottom w:w="80" w:type="dxa"/>
              <w:left w:w="100" w:type="dxa"/>
              <w:right w:w="100" w:type="dxa"/>
            </w:tcMar>
          </w:tcPr>
          <w:p>
            <w:r>
              <w:rPr>
                <w:rFonts w:ascii="Arial" w:hAnsi="Arial"/>
                <w:color w:val="333333"/>
                <w:sz w:val="19"/>
              </w:rPr>
              <w:t>Float</w:t>
            </w:r>
          </w:p>
        </w:tc>
        <w:tc>
          <w:tcPr>
            <w:tcW w:type="dxa" w:w="2340"/>
            <w:shd w:fill="FFFFFF"/>
            <w:tcMar>
              <w:top w:w="80" w:type="dxa"/>
              <w:bottom w:w="80" w:type="dxa"/>
              <w:left w:w="100" w:type="dxa"/>
              <w:right w:w="100" w:type="dxa"/>
            </w:tcMar>
          </w:tcPr>
          <w:p>
            <w:r>
              <w:rPr>
                <w:rFonts w:ascii="Arial" w:hAnsi="Arial"/>
                <w:color w:val="333333"/>
                <w:sz w:val="19"/>
              </w:rPr>
              <w:t>Total parcel package weight in kilograms</w:t>
            </w:r>
          </w:p>
        </w:tc>
        <w:tc>
          <w:tcPr>
            <w:tcW w:type="dxa" w:w="2340"/>
            <w:shd w:fill="FFFFFF"/>
            <w:tcMar>
              <w:top w:w="80" w:type="dxa"/>
              <w:bottom w:w="80" w:type="dxa"/>
              <w:left w:w="100" w:type="dxa"/>
              <w:right w:w="100" w:type="dxa"/>
            </w:tcMar>
          </w:tcPr>
          <w:p>
            <w:r>
              <w:rPr>
                <w:rFonts w:ascii="Arial" w:hAnsi="Arial"/>
                <w:color w:val="333333"/>
                <w:sz w:val="19"/>
              </w:rPr>
              <w:t>Missing values (~5%), Negative outliers</w:t>
            </w:r>
          </w:p>
        </w:tc>
      </w:tr>
      <w:tr>
        <w:tc>
          <w:tcPr>
            <w:tcW w:type="dxa" w:w="2340"/>
            <w:shd w:fill="F9FAFB"/>
            <w:tcMar>
              <w:top w:w="80" w:type="dxa"/>
              <w:bottom w:w="80" w:type="dxa"/>
              <w:left w:w="100" w:type="dxa"/>
              <w:right w:w="100" w:type="dxa"/>
            </w:tcMar>
          </w:tcPr>
          <w:p>
            <w:r>
              <w:rPr>
                <w:rFonts w:ascii="Arial" w:hAnsi="Arial"/>
                <w:color w:val="333333"/>
                <w:sz w:val="19"/>
              </w:rPr>
              <w:t>Distance_KM</w:t>
            </w:r>
          </w:p>
        </w:tc>
        <w:tc>
          <w:tcPr>
            <w:tcW w:type="dxa" w:w="2340"/>
            <w:shd w:fill="F9FAFB"/>
            <w:tcMar>
              <w:top w:w="80" w:type="dxa"/>
              <w:bottom w:w="80" w:type="dxa"/>
              <w:left w:w="100" w:type="dxa"/>
              <w:right w:w="100" w:type="dxa"/>
            </w:tcMar>
          </w:tcPr>
          <w:p>
            <w:r>
              <w:rPr>
                <w:rFonts w:ascii="Arial" w:hAnsi="Arial"/>
                <w:color w:val="333333"/>
                <w:sz w:val="19"/>
              </w:rPr>
              <w:t>Float</w:t>
            </w:r>
          </w:p>
        </w:tc>
        <w:tc>
          <w:tcPr>
            <w:tcW w:type="dxa" w:w="2340"/>
            <w:shd w:fill="F9FAFB"/>
            <w:tcMar>
              <w:top w:w="80" w:type="dxa"/>
              <w:bottom w:w="80" w:type="dxa"/>
              <w:left w:w="100" w:type="dxa"/>
              <w:right w:w="100" w:type="dxa"/>
            </w:tcMar>
          </w:tcPr>
          <w:p>
            <w:r>
              <w:rPr>
                <w:rFonts w:ascii="Arial" w:hAnsi="Arial"/>
                <w:color w:val="333333"/>
                <w:sz w:val="19"/>
              </w:rPr>
              <w:t>Transit distance between source and destination</w:t>
            </w:r>
          </w:p>
        </w:tc>
        <w:tc>
          <w:tcPr>
            <w:tcW w:type="dxa" w:w="2340"/>
            <w:shd w:fill="F9FAFB"/>
            <w:tcMar>
              <w:top w:w="80" w:type="dxa"/>
              <w:bottom w:w="80" w:type="dxa"/>
              <w:left w:w="100" w:type="dxa"/>
              <w:right w:w="100" w:type="dxa"/>
            </w:tcMar>
          </w:tcPr>
          <w:p>
            <w:r>
              <w:rPr>
                <w:rFonts w:ascii="Arial" w:hAnsi="Arial"/>
                <w:color w:val="333333"/>
                <w:sz w:val="19"/>
              </w:rPr>
              <w:t>Extreme upper outliers (Data entry errors)</w:t>
            </w:r>
          </w:p>
        </w:tc>
      </w:tr>
      <w:tr>
        <w:tc>
          <w:tcPr>
            <w:tcW w:type="dxa" w:w="2340"/>
            <w:shd w:fill="FFFFFF"/>
            <w:tcMar>
              <w:top w:w="80" w:type="dxa"/>
              <w:bottom w:w="80" w:type="dxa"/>
              <w:left w:w="100" w:type="dxa"/>
              <w:right w:w="100" w:type="dxa"/>
            </w:tcMar>
          </w:tcPr>
          <w:p>
            <w:r>
              <w:rPr>
                <w:rFonts w:ascii="Arial" w:hAnsi="Arial"/>
                <w:color w:val="333333"/>
                <w:sz w:val="19"/>
              </w:rPr>
              <w:t>Delivery_Time_Hrs</w:t>
            </w:r>
          </w:p>
        </w:tc>
        <w:tc>
          <w:tcPr>
            <w:tcW w:type="dxa" w:w="2340"/>
            <w:shd w:fill="FFFFFF"/>
            <w:tcMar>
              <w:top w:w="80" w:type="dxa"/>
              <w:bottom w:w="80" w:type="dxa"/>
              <w:left w:w="100" w:type="dxa"/>
              <w:right w:w="100" w:type="dxa"/>
            </w:tcMar>
          </w:tcPr>
          <w:p>
            <w:r>
              <w:rPr>
                <w:rFonts w:ascii="Arial" w:hAnsi="Arial"/>
                <w:color w:val="333333"/>
                <w:sz w:val="19"/>
              </w:rPr>
              <w:t>Float</w:t>
            </w:r>
          </w:p>
        </w:tc>
        <w:tc>
          <w:tcPr>
            <w:tcW w:type="dxa" w:w="2340"/>
            <w:shd w:fill="FFFFFF"/>
            <w:tcMar>
              <w:top w:w="80" w:type="dxa"/>
              <w:bottom w:w="80" w:type="dxa"/>
              <w:left w:w="100" w:type="dxa"/>
              <w:right w:w="100" w:type="dxa"/>
            </w:tcMar>
          </w:tcPr>
          <w:p>
            <w:r>
              <w:rPr>
                <w:rFonts w:ascii="Arial" w:hAnsi="Arial"/>
                <w:color w:val="333333"/>
                <w:sz w:val="19"/>
              </w:rPr>
              <w:t>Actual hours taken from dispatch to delivery</w:t>
            </w:r>
          </w:p>
        </w:tc>
        <w:tc>
          <w:tcPr>
            <w:tcW w:type="dxa" w:w="2340"/>
            <w:shd w:fill="FFFFFF"/>
            <w:tcMar>
              <w:top w:w="80" w:type="dxa"/>
              <w:bottom w:w="80" w:type="dxa"/>
              <w:left w:w="100" w:type="dxa"/>
              <w:right w:w="100" w:type="dxa"/>
            </w:tcMar>
          </w:tcPr>
          <w:p>
            <w:r>
              <w:rPr>
                <w:rFonts w:ascii="Arial" w:hAnsi="Arial"/>
                <w:color w:val="333333"/>
                <w:sz w:val="19"/>
              </w:rPr>
              <w:t>Missing values (~8%)</w:t>
            </w:r>
          </w:p>
        </w:tc>
      </w:tr>
      <w:tr>
        <w:tc>
          <w:tcPr>
            <w:tcW w:type="dxa" w:w="2340"/>
            <w:shd w:fill="F9FAFB"/>
            <w:tcMar>
              <w:top w:w="80" w:type="dxa"/>
              <w:bottom w:w="80" w:type="dxa"/>
              <w:left w:w="100" w:type="dxa"/>
              <w:right w:w="100" w:type="dxa"/>
            </w:tcMar>
          </w:tcPr>
          <w:p>
            <w:r>
              <w:rPr>
                <w:rFonts w:ascii="Arial" w:hAnsi="Arial"/>
                <w:color w:val="333333"/>
                <w:sz w:val="19"/>
              </w:rPr>
              <w:t>Shipping_Cost_USD</w:t>
            </w:r>
          </w:p>
        </w:tc>
        <w:tc>
          <w:tcPr>
            <w:tcW w:type="dxa" w:w="2340"/>
            <w:shd w:fill="F9FAFB"/>
            <w:tcMar>
              <w:top w:w="80" w:type="dxa"/>
              <w:bottom w:w="80" w:type="dxa"/>
              <w:left w:w="100" w:type="dxa"/>
              <w:right w:w="100" w:type="dxa"/>
            </w:tcMar>
          </w:tcPr>
          <w:p>
            <w:r>
              <w:rPr>
                <w:rFonts w:ascii="Arial" w:hAnsi="Arial"/>
                <w:color w:val="333333"/>
                <w:sz w:val="19"/>
              </w:rPr>
              <w:t>Float</w:t>
            </w:r>
          </w:p>
        </w:tc>
        <w:tc>
          <w:tcPr>
            <w:tcW w:type="dxa" w:w="2340"/>
            <w:shd w:fill="F9FAFB"/>
            <w:tcMar>
              <w:top w:w="80" w:type="dxa"/>
              <w:bottom w:w="80" w:type="dxa"/>
              <w:left w:w="100" w:type="dxa"/>
              <w:right w:w="100" w:type="dxa"/>
            </w:tcMar>
          </w:tcPr>
          <w:p>
            <w:r>
              <w:rPr>
                <w:rFonts w:ascii="Arial" w:hAnsi="Arial"/>
                <w:color w:val="333333"/>
                <w:sz w:val="19"/>
              </w:rPr>
              <w:t>Total cost incurred for transportation</w:t>
            </w:r>
          </w:p>
        </w:tc>
        <w:tc>
          <w:tcPr>
            <w:tcW w:type="dxa" w:w="2340"/>
            <w:shd w:fill="F9FAFB"/>
            <w:tcMar>
              <w:top w:w="80" w:type="dxa"/>
              <w:bottom w:w="80" w:type="dxa"/>
              <w:left w:w="100" w:type="dxa"/>
              <w:right w:w="100" w:type="dxa"/>
            </w:tcMar>
          </w:tcPr>
          <w:p>
            <w:r>
              <w:rPr>
                <w:rFonts w:ascii="Arial" w:hAnsi="Arial"/>
                <w:color w:val="333333"/>
                <w:sz w:val="19"/>
              </w:rPr>
              <w:t>Unscaled values (High magnitude variance)</w:t>
            </w:r>
          </w:p>
        </w:tc>
      </w:tr>
    </w:tbl>
    <w:p>
      <w:pPr>
        <w:spacing w:after="160"/>
      </w:pPr>
    </w:p>
    <w:p>
      <w:pPr>
        <w:keepNext/>
        <w:spacing w:before="320" w:after="120"/>
      </w:pPr>
      <w:r>
        <w:rPr>
          <w:rFonts w:ascii="Arial" w:hAnsi="Arial"/>
          <w:b/>
          <w:color w:val="1F4E78"/>
          <w:sz w:val="28"/>
        </w:rPr>
        <w:t>3. Methodological Explanation &amp; Data Cleaning Pipeline</w:t>
      </w:r>
    </w:p>
    <w:p>
      <w:pPr>
        <w:keepNext/>
        <w:spacing w:before="240" w:after="80"/>
      </w:pPr>
      <w:r>
        <w:rPr>
          <w:rFonts w:ascii="Arial" w:hAnsi="Arial"/>
          <w:b/>
          <w:color w:val="2E75B6"/>
          <w:sz w:val="24"/>
        </w:rPr>
        <w:t>3.1 Handling Missing Values</w:t>
      </w:r>
    </w:p>
    <w:p>
      <w:pPr>
        <w:spacing w:before="0" w:after="120" w:line="276" w:lineRule="auto"/>
      </w:pPr>
      <w:r>
        <w:rPr>
          <w:rFonts w:ascii="Arial" w:hAnsi="Arial"/>
          <w:color w:val="262626"/>
          <w:sz w:val="21"/>
        </w:rPr>
        <w:t>Missing values in logistics datasets frequently occur due to sensor dropping, manual entry oversights, or integration delays between third-party carriers. Rather than dropping rows—which risks discarding valuable route data—we apply context-aware statistical imputation:</w:t>
      </w:r>
    </w:p>
    <w:p>
      <w:pPr>
        <w:spacing w:before="0" w:after="120" w:line="276" w:lineRule="auto"/>
      </w:pPr>
      <w:r>
        <w:rPr>
          <w:rFonts w:ascii="Arial" w:hAnsi="Arial"/>
          <w:b/>
          <w:color w:val="262626"/>
          <w:sz w:val="21"/>
        </w:rPr>
        <w:t xml:space="preserve">• Mean Imputation: </w:t>
      </w:r>
      <w:r>
        <w:rPr>
          <w:rFonts w:ascii="Arial" w:hAnsi="Arial"/>
          <w:color w:val="262626"/>
          <w:sz w:val="21"/>
        </w:rPr>
        <w:t xml:space="preserve"> For continuous variables without heavy skewness (such as Package Weight), missing values are replaced with the mean.</w:t>
      </w:r>
    </w:p>
    <w:p>
      <w:pPr>
        <w:spacing w:before="0" w:after="120" w:line="276" w:lineRule="auto"/>
      </w:pPr>
      <w:r>
        <w:rPr>
          <w:rFonts w:ascii="Arial" w:hAnsi="Arial"/>
          <w:b/>
          <w:color w:val="262626"/>
          <w:sz w:val="21"/>
        </w:rPr>
        <w:t xml:space="preserve">• Median Imputation: </w:t>
      </w:r>
      <w:r>
        <w:rPr>
          <w:rFonts w:ascii="Arial" w:hAnsi="Arial"/>
          <w:color w:val="262626"/>
          <w:sz w:val="21"/>
        </w:rPr>
        <w:t xml:space="preserve"> For time-dependent and heavily skewed features (such as Delivery Time Hours), missing values are filled using the median, preserving central tendency without bias from extreme delays.</w:t>
      </w:r>
    </w:p>
    <w:p>
      <w:pPr>
        <w:keepNext/>
        <w:spacing w:before="240" w:after="80"/>
      </w:pPr>
      <w:r>
        <w:rPr>
          <w:rFonts w:ascii="Arial" w:hAnsi="Arial"/>
          <w:b/>
          <w:color w:val="2E75B6"/>
          <w:sz w:val="24"/>
        </w:rPr>
        <w:t>3.2 Outlier Detection and Capping (Interquartile Range - IQR Method)</w:t>
      </w:r>
    </w:p>
    <w:p>
      <w:pPr>
        <w:spacing w:before="0" w:after="120" w:line="276" w:lineRule="auto"/>
      </w:pPr>
      <w:r>
        <w:rPr>
          <w:rFonts w:ascii="Arial" w:hAnsi="Arial"/>
          <w:color w:val="262626"/>
          <w:sz w:val="21"/>
        </w:rPr>
        <w:t>Outliers in shipping distance or package weight often reflect either rare heavy-freight movements or data entry mistakes (e.g., typing 5000 KM instead of 500 KM). To handle outliers robustly without trimming dataset size, we utilize the Interquartile Range (IQR) capping method (Winsorization):</w:t>
      </w:r>
    </w:p>
    <w:p>
      <w:pPr>
        <w:spacing w:before="0" w:after="120" w:line="276" w:lineRule="auto"/>
      </w:pPr>
      <w:r>
        <w:rPr>
          <w:rFonts w:ascii="Arial" w:hAnsi="Arial"/>
          <w:b/>
          <w:color w:val="262626"/>
          <w:sz w:val="21"/>
        </w:rPr>
        <w:t xml:space="preserve">Formula: </w:t>
      </w:r>
      <w:r>
        <w:rPr>
          <w:rFonts w:ascii="Arial" w:hAnsi="Arial"/>
          <w:color w:val="262626"/>
          <w:sz w:val="21"/>
        </w:rPr>
        <w:t xml:space="preserve"> Lower Bound = Q1 - 1.5 * IQR | Upper Bound = Q3 + 1.5 * IQR</w:t>
      </w:r>
    </w:p>
    <w:p>
      <w:pPr>
        <w:spacing w:before="0" w:after="120" w:line="276" w:lineRule="auto"/>
      </w:pPr>
      <w:r>
        <w:rPr>
          <w:rFonts w:ascii="Arial" w:hAnsi="Arial"/>
          <w:color w:val="262626"/>
          <w:sz w:val="21"/>
        </w:rPr>
        <w:t>Values below the lower bound or above the upper bound are capped to the threshold values, neutralizing extreme leverage on analytical models.</w:t>
      </w:r>
    </w:p>
    <w:p>
      <w:pPr>
        <w:keepNext/>
        <w:spacing w:before="240" w:after="80"/>
      </w:pPr>
      <w:r>
        <w:rPr>
          <w:rFonts w:ascii="Arial" w:hAnsi="Arial"/>
          <w:b/>
          <w:color w:val="2E75B6"/>
          <w:sz w:val="24"/>
        </w:rPr>
        <w:t>3.3 Feature Normalization &amp; Scaling</w:t>
      </w:r>
    </w:p>
    <w:p>
      <w:pPr>
        <w:spacing w:before="0" w:after="120" w:line="276" w:lineRule="auto"/>
      </w:pPr>
      <w:r>
        <w:rPr>
          <w:rFonts w:ascii="Arial" w:hAnsi="Arial"/>
          <w:color w:val="262626"/>
          <w:sz w:val="21"/>
        </w:rPr>
        <w:t>Logistics features exist across disparate units (e.g., Weight in KG [1-100], Distance in KM [50-3000], Cost in USD [100-10000]). Distance metrics and gradient-based machine learning algorithms (such as K-Means clustering for depot location or Regression models for ETA estimation) are heavily biased toward large-scale features. We apply Min-Max Normalization to scale all features uniformly into the range [0, 1]:</w:t>
      </w:r>
    </w:p>
    <w:p>
      <w:pPr>
        <w:spacing w:before="0" w:after="120" w:line="276" w:lineRule="auto"/>
      </w:pPr>
      <w:r>
        <w:rPr>
          <w:rFonts w:ascii="Arial" w:hAnsi="Arial"/>
          <w:b/>
          <w:color w:val="262626"/>
          <w:sz w:val="21"/>
        </w:rPr>
        <w:t xml:space="preserve">Formula: </w:t>
      </w:r>
      <w:r>
        <w:rPr>
          <w:rFonts w:ascii="Arial" w:hAnsi="Arial"/>
          <w:color w:val="262626"/>
          <w:sz w:val="21"/>
        </w:rPr>
        <w:t xml:space="preserve"> X_scaled = (X - X_min) / (X_max - X_min)</w:t>
      </w:r>
    </w:p>
    <w:p>
      <w:pPr>
        <w:keepNext/>
        <w:spacing w:before="320" w:after="120"/>
      </w:pPr>
      <w:r>
        <w:rPr>
          <w:rFonts w:ascii="Arial" w:hAnsi="Arial"/>
          <w:b/>
          <w:color w:val="1F4E78"/>
          <w:sz w:val="28"/>
        </w:rPr>
        <w:t>4. Python Code Documentation</w:t>
      </w:r>
    </w:p>
    <w:p>
      <w:pPr>
        <w:spacing w:before="0" w:after="120" w:line="276" w:lineRule="auto"/>
      </w:pPr>
      <w:r>
        <w:rPr>
          <w:rFonts w:ascii="Arial" w:hAnsi="Arial"/>
          <w:color w:val="262626"/>
          <w:sz w:val="21"/>
        </w:rPr>
        <w:t>The complete modular Python pipeline implemented for this task using Pandas, NumPy, and Scikit-Learn is documented below:</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F4E78"/>
              <w:bottom w:val="none"/>
              <w:right w:val="none"/>
            </w:tcBorders>
          </w:tcPr>
          <w:p>
            <w:pPr>
              <w:spacing w:before="80" w:after="80" w:line="276" w:lineRule="auto"/>
            </w:pPr>
            <w:r>
              <w:rPr>
                <w:rFonts w:ascii="Consolas" w:hAnsi="Consolas"/>
                <w:color w:val="24292E"/>
                <w:sz w:val="19"/>
              </w:rPr>
              <w:t>import pandas as pd</w:t>
              <w:br/>
              <w:t>import numpy as np</w:t>
              <w:br/>
              <w:t>from sklearn.preprocessing import MinMaxScaler</w:t>
              <w:br/>
              <w:br/>
              <w:t># Step 1: Simulate Logistics Dataset Creation</w:t>
              <w:br/>
              <w:t>np.random.seed(42)</w:t>
              <w:br/>
              <w:t>n_samples = 1000</w:t>
              <w:br/>
              <w:br/>
              <w:t>data = {</w:t>
              <w:br/>
              <w:t xml:space="preserve">    'Shipment_ID': [f'SHP_{1000+i}' for i in range(n_samples)],</w:t>
              <w:br/>
              <w:t xml:space="preserve">    'Weight_KG': np.random.normal(loc=25, scale=8, size=n_samples),</w:t>
              <w:br/>
              <w:t xml:space="preserve">    'Distance_KM': np.random.exponential(scale=300, size=n_samples),</w:t>
              <w:br/>
              <w:t xml:space="preserve">    'Delivery_Time_Hrs': np.random.normal(loc=48, scale=12, size=n_samples),</w:t>
              <w:br/>
              <w:t xml:space="preserve">    'Shipping_Cost_USD': np.random.uniform(50, 1500, size=n_samples)</w:t>
              <w:br/>
              <w:t>}</w:t>
              <w:br/>
              <w:br/>
              <w:t>df = pd.DataFrame(data)</w:t>
              <w:br/>
              <w:br/>
              <w:t># Injecting Synthetic Missing Values &amp; Outliers</w:t>
              <w:br/>
              <w:t>df.loc[df.sample(frac=0.05).index, 'Weight_KG'] = np.nan</w:t>
              <w:br/>
              <w:t>df.loc[df.sample(frac=0.08).index, 'Delivery_Time_Hrs'] = np.nan</w:t>
              <w:br/>
              <w:t>df.loc[10:15, 'Distance_KM'] = [8000, 9500, 12000, 11000, 8500, 9900] # Extreme outliers</w:t>
              <w:br/>
              <w:br/>
              <w:t>print("--- Initial Raw Dataset Overview ---")</w:t>
              <w:br/>
              <w:t>print(df.info())</w:t>
              <w:br/>
              <w:t>print("</w:t>
              <w:br/>
              <w:t>Missing Values Count:</w:t>
              <w:br/>
              <w:t>", df.isnull().sum())</w:t>
              <w:br/>
              <w:br/>
              <w:t># Step 2: Data Cleaning - Missing Value Imputation</w:t>
              <w:br/>
              <w:t># Impute Weight_KG with Mean</w:t>
              <w:br/>
              <w:t>weight_mean = df['Weight_KG'].mean()</w:t>
              <w:br/>
              <w:t>df['Weight_KG'].fillna(weight_mean, inplace=True)</w:t>
              <w:br/>
              <w:br/>
              <w:t># Impute Delivery_Time_Hrs with Median</w:t>
              <w:br/>
              <w:t>delivery_median = df['Delivery_Time_Hrs'].median()</w:t>
              <w:br/>
              <w:t>df['Delivery_Time_Hrs'].fillna(delivery_median, inplace=True)</w:t>
              <w:br/>
              <w:br/>
              <w:t># Step 3: Outlier Detection and Capping via IQR</w:t>
              <w:br/>
              <w:t>def cap_outliers_iqr(dataframe, column):</w:t>
              <w:br/>
              <w:t xml:space="preserve">    Q1 = dataframe[column].quantile(0.25)</w:t>
              <w:br/>
              <w:t xml:space="preserve">    Q3 = dataframe[column].quantile(0.75)</w:t>
              <w:br/>
              <w:t xml:space="preserve">    IQR = Q3 - Q1</w:t>
              <w:br/>
              <w:t xml:space="preserve">    lower_bound = Q1 - 1.5 * IQR</w:t>
              <w:br/>
              <w:t xml:space="preserve">    upper_bound = Q3 + 1.5 * IQR</w:t>
              <w:br/>
              <w:t xml:space="preserve">    </w:t>
              <w:br/>
              <w:t xml:space="preserve">    # Cap values outside boundaries</w:t>
              <w:br/>
              <w:t xml:space="preserve">    dataframe[column] = np.where(dataframe[column] &lt; lower_bound, lower_bound,</w:t>
              <w:br/>
              <w:t xml:space="preserve">                        np.where(dataframe[column] &gt; upper_bound, upper_bound, dataframe[column]))</w:t>
              <w:br/>
              <w:t xml:space="preserve">    return lower_bound, upper_bound</w:t>
              <w:br/>
              <w:br/>
              <w:t># Cap outliers for Distance_KM and Weight_KG</w:t>
              <w:br/>
              <w:t>cap_outliers_iqr(df, 'Distance_KM')</w:t>
              <w:br/>
              <w:t>cap_outliers_iqr(df, 'Weight_KG')</w:t>
              <w:br/>
              <w:br/>
              <w:t># Step 4: Normalization (Min-Max Scaling)</w:t>
              <w:br/>
              <w:t>scaler = MinMaxScaler()</w:t>
              <w:br/>
              <w:t>numerical_cols = ['Weight_KG', 'Distance_KM', 'Delivery_Time_Hrs', 'Shipping_Cost_USD']</w:t>
              <w:br/>
              <w:t>df_scaled = df.copy()</w:t>
              <w:br/>
              <w:t>df_scaled[numerical_cols] = scaler.fit_transform(df[numerical_cols])</w:t>
              <w:br/>
              <w:br/>
              <w:t>print("</w:t>
              <w:br/>
              <w:t>--- Processed Dataset Overview (Normalized) ---")</w:t>
              <w:br/>
              <w:t>print(df_scaled.describe())</w:t>
              <w:br/>
            </w:r>
          </w:p>
        </w:tc>
      </w:tr>
    </w:tbl>
    <w:p>
      <w:pPr>
        <w:spacing w:before="0" w:after="120"/>
      </w:pPr>
    </w:p>
    <w:p>
      <w:pPr>
        <w:keepNext/>
        <w:spacing w:before="320" w:after="120"/>
      </w:pPr>
      <w:r>
        <w:rPr>
          <w:rFonts w:ascii="Arial" w:hAnsi="Arial"/>
          <w:b/>
          <w:color w:val="1F4E78"/>
          <w:sz w:val="28"/>
        </w:rPr>
        <w:t>5. Reflection: Impact of Data Quality on Logistics Analytics</w:t>
      </w:r>
    </w:p>
    <w:p>
      <w:pPr>
        <w:spacing w:before="0" w:after="120" w:line="276" w:lineRule="auto"/>
      </w:pPr>
      <w:r>
        <w:rPr>
          <w:rFonts w:ascii="Arial" w:hAnsi="Arial"/>
          <w:color w:val="262626"/>
          <w:sz w:val="21"/>
        </w:rPr>
        <w:t>Data quality serves as the foundational core of predictive analytics and automated decision-making in modern logistics operations. Garbage-in, garbage-out (GIGO) is an undeniable reality in supply chain intelligence:</w:t>
      </w:r>
    </w:p>
    <w:p>
      <w:pPr>
        <w:spacing w:before="0" w:after="120" w:line="276" w:lineRule="auto"/>
      </w:pPr>
      <w:r>
        <w:rPr>
          <w:rFonts w:ascii="Arial" w:hAnsi="Arial"/>
          <w:b/>
          <w:color w:val="262626"/>
          <w:sz w:val="21"/>
        </w:rPr>
        <w:t xml:space="preserve">1. Impact on Route Optimization &amp; ETAs: </w:t>
      </w:r>
      <w:r>
        <w:rPr>
          <w:rFonts w:ascii="Arial" w:hAnsi="Arial"/>
          <w:color w:val="262626"/>
          <w:sz w:val="21"/>
        </w:rPr>
        <w:t xml:space="preserve"> Uncleaned delay metrics result in inaccurate Estimated Time of Arrival (ETA) predictions, leading to customer dissatisfaction and breached Service Level Agreements (SLAs).</w:t>
      </w:r>
    </w:p>
    <w:p>
      <w:pPr>
        <w:spacing w:before="0" w:after="120" w:line="276" w:lineRule="auto"/>
      </w:pPr>
      <w:r>
        <w:rPr>
          <w:rFonts w:ascii="Arial" w:hAnsi="Arial"/>
          <w:b/>
          <w:color w:val="262626"/>
          <w:sz w:val="21"/>
        </w:rPr>
        <w:t xml:space="preserve">2. Impact on Cost &amp; Inventory Planning: </w:t>
      </w:r>
      <w:r>
        <w:rPr>
          <w:rFonts w:ascii="Arial" w:hAnsi="Arial"/>
          <w:color w:val="262626"/>
          <w:sz w:val="21"/>
        </w:rPr>
        <w:t xml:space="preserve"> Outlier shipping costs or missing parcel weight data distort freight load optimizations and financial forecasting, causing budget overruns.</w:t>
      </w:r>
    </w:p>
    <w:p>
      <w:pPr>
        <w:spacing w:before="0" w:after="120" w:line="276" w:lineRule="auto"/>
      </w:pPr>
      <w:r>
        <w:rPr>
          <w:rFonts w:ascii="Arial" w:hAnsi="Arial"/>
          <w:b/>
          <w:color w:val="262626"/>
          <w:sz w:val="21"/>
        </w:rPr>
        <w:t xml:space="preserve">3. Strategic Decision Making: </w:t>
      </w:r>
      <w:r>
        <w:rPr>
          <w:rFonts w:ascii="Arial" w:hAnsi="Arial"/>
          <w:color w:val="262626"/>
          <w:sz w:val="21"/>
        </w:rPr>
        <w:t xml:space="preserve"> Clean, normalized features empower clustering models to accurately group delivery regions, optimize warehouse storage allocations, and lower fuel consumption across fleets.</w:t>
      </w:r>
    </w:p>
    <w:p>
      <w:pPr>
        <w:spacing w:before="0" w:after="120" w:line="276" w:lineRule="auto"/>
      </w:pPr>
      <w:r>
        <w:rPr>
          <w:rFonts w:ascii="Arial" w:hAnsi="Arial"/>
          <w:color w:val="262626"/>
          <w:sz w:val="21"/>
        </w:rPr>
        <w:t>In conclusion, implementing a systematic preprocessing pipeline guarantees data reliability, mitigates operational risks, and enhances the precision of downstream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