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E78"/>
          <w:sz w:val="40"/>
        </w:rPr>
        <w:t>Week 3 Task: Advanced Data Analysis and Visualization in Logistics</w:t>
      </w:r>
    </w:p>
    <w:p>
      <w:pPr>
        <w:spacing w:after="320"/>
      </w:pPr>
      <w:r>
        <w:rPr>
          <w:rFonts w:ascii="Arial" w:hAnsi="Arial"/>
          <w:i/>
          <w:color w:val="595959"/>
          <w:sz w:val="22"/>
        </w:rPr>
        <w:t>Exploratory Data Analysis (EDA) &amp; Visual Analytics Report | Yuva Intern &amp; NSDC Project</w:t>
      </w:r>
    </w:p>
    <w:tbl>
      <w:tblPr>
        <w:tblW w:type="auto" w:w="0"/>
        <w:jc w:val="center"/>
        <w:tblLook w:firstColumn="1" w:firstRow="1" w:lastColumn="0" w:lastRow="0" w:noHBand="0" w:noVBand="1" w:val="04A0"/>
      </w:tblPr>
      <w:tblGrid>
        <w:gridCol w:w="4680"/>
        <w:gridCol w:w="4680"/>
      </w:tblGrid>
      <w:tr>
        <w:tc>
          <w:tcPr>
            <w:tcW w:type="dxa" w:w="4680"/>
            <w:shd w:fill="F2F4F7"/>
            <w:tcMar>
              <w:top w:w="80" w:type="dxa"/>
              <w:bottom w:w="80" w:type="dxa"/>
              <w:left w:w="120" w:type="dxa"/>
              <w:right w:w="120" w:type="dxa"/>
            </w:tcMar>
          </w:tcPr>
          <w:p>
            <w:pPr>
              <w:spacing w:before="40" w:after="40"/>
            </w:pPr>
            <w:r>
              <w:rPr>
                <w:rFonts w:ascii="Arial" w:hAnsi="Arial"/>
                <w:b/>
                <w:color w:val="1F4E78"/>
                <w:sz w:val="19"/>
              </w:rPr>
              <w:t xml:space="preserve">Domain: </w:t>
            </w:r>
            <w:r>
              <w:rPr>
                <w:rFonts w:ascii="Arial" w:hAnsi="Arial"/>
                <w:color w:val="333333"/>
                <w:sz w:val="19"/>
              </w:rPr>
              <w:t>Logistics &amp; Exploratory Data Analysis</w:t>
            </w:r>
          </w:p>
        </w:tc>
        <w:tc>
          <w:tcPr>
            <w:tcW w:type="dxa" w:w="4680"/>
            <w:shd w:fill="F2F4F7"/>
            <w:tcMar>
              <w:top w:w="80" w:type="dxa"/>
              <w:bottom w:w="80" w:type="dxa"/>
              <w:left w:w="120" w:type="dxa"/>
              <w:right w:w="120" w:type="dxa"/>
            </w:tcMar>
          </w:tcPr>
          <w:p>
            <w:pPr>
              <w:spacing w:before="40" w:after="40"/>
            </w:pPr>
            <w:r>
              <w:rPr>
                <w:rFonts w:ascii="Arial" w:hAnsi="Arial"/>
                <w:b/>
                <w:color w:val="1F4E78"/>
                <w:sz w:val="19"/>
              </w:rPr>
              <w:t xml:space="preserve">Visualization Libraries: </w:t>
            </w:r>
            <w:r>
              <w:rPr>
                <w:rFonts w:ascii="Arial" w:hAnsi="Arial"/>
                <w:color w:val="333333"/>
                <w:sz w:val="19"/>
              </w:rPr>
              <w:t>Matplotlib, Seaborn, Pandas</w:t>
            </w:r>
          </w:p>
        </w:tc>
      </w:tr>
      <w:tr>
        <w:tc>
          <w:tcPr>
            <w:tcW w:type="dxa" w:w="4680"/>
            <w:shd w:fill="F2F4F7"/>
            <w:tcMar>
              <w:top w:w="80" w:type="dxa"/>
              <w:bottom w:w="80" w:type="dxa"/>
              <w:left w:w="120" w:type="dxa"/>
              <w:right w:w="120" w:type="dxa"/>
            </w:tcMar>
          </w:tcPr>
          <w:p>
            <w:pPr>
              <w:spacing w:before="40" w:after="40"/>
            </w:pPr>
            <w:r>
              <w:rPr>
                <w:rFonts w:ascii="Arial" w:hAnsi="Arial"/>
                <w:b/>
                <w:color w:val="1F4E78"/>
                <w:sz w:val="19"/>
              </w:rPr>
              <w:t xml:space="preserve">Analytical Scope: </w:t>
            </w:r>
            <w:r>
              <w:rPr>
                <w:rFonts w:ascii="Arial" w:hAnsi="Arial"/>
                <w:color w:val="333333"/>
                <w:sz w:val="19"/>
              </w:rPr>
              <w:t>Central Tendency, Trends, Distributions, Correlation</w:t>
            </w:r>
          </w:p>
        </w:tc>
        <w:tc>
          <w:tcPr>
            <w:tcW w:type="dxa" w:w="4680"/>
            <w:shd w:fill="F2F4F7"/>
            <w:tcMar>
              <w:top w:w="80" w:type="dxa"/>
              <w:bottom w:w="80" w:type="dxa"/>
              <w:left w:w="120" w:type="dxa"/>
              <w:right w:w="120" w:type="dxa"/>
            </w:tcMar>
          </w:tcPr>
          <w:p>
            <w:pPr>
              <w:spacing w:before="40" w:after="40"/>
            </w:pPr>
            <w:r>
              <w:rPr>
                <w:rFonts w:ascii="Arial" w:hAnsi="Arial"/>
                <w:b/>
                <w:color w:val="1F4E78"/>
                <w:sz w:val="19"/>
              </w:rPr>
              <w:t xml:space="preserve">Deliverable Format: </w:t>
            </w:r>
            <w:r>
              <w:rPr>
                <w:rFonts w:ascii="Arial" w:hAnsi="Arial"/>
                <w:color w:val="333333"/>
                <w:sz w:val="19"/>
              </w:rPr>
              <w:t>Technical Executive Report (.docx)</w:t>
            </w:r>
          </w:p>
        </w:tc>
      </w:tr>
    </w:tbl>
    <w:p>
      <w:pPr>
        <w:spacing w:after="160"/>
      </w:pPr>
    </w:p>
    <w:p>
      <w:pPr>
        <w:keepNext/>
        <w:spacing w:before="320" w:after="120"/>
      </w:pPr>
      <w:r>
        <w:rPr>
          <w:rFonts w:ascii="Arial" w:hAnsi="Arial"/>
          <w:b/>
          <w:color w:val="1F4E78"/>
          <w:sz w:val="28"/>
        </w:rPr>
        <w:t>1. Executive Objective &amp; Task Overview</w:t>
      </w:r>
    </w:p>
    <w:p>
      <w:pPr>
        <w:spacing w:before="0" w:after="120" w:line="276" w:lineRule="auto"/>
      </w:pPr>
      <w:r>
        <w:rPr>
          <w:rFonts w:ascii="Arial" w:hAnsi="Arial"/>
          <w:color w:val="262626"/>
          <w:sz w:val="21"/>
        </w:rPr>
        <w:t>Exploratory Data Analysis (EDA) is a foundational phase in logistics analytics that transforms complex operational raw data into actionable business intelligence. Modern supply chains continuously balance cost efficiency, transport speed, and service reliability. This report presents an in-depth exploratory analysis of a synthetic multi-modal logistics dataset containing 500 operational shipment records.</w:t>
      </w:r>
    </w:p>
    <w:p>
      <w:pPr>
        <w:spacing w:before="0" w:after="120" w:line="276" w:lineRule="auto"/>
      </w:pPr>
      <w:r>
        <w:rPr>
          <w:rFonts w:ascii="Arial" w:hAnsi="Arial"/>
          <w:color w:val="262626"/>
          <w:sz w:val="21"/>
        </w:rPr>
        <w:t>The primary goal is to evaluate central tendencies, examine skewness in delivery timelines, identify cost drivers across modal options (Air, Road, Sea, Rail), analyze multivariate correlations, and provide strategic recommendations to eliminate operational bottlenecks.</w:t>
      </w:r>
    </w:p>
    <w:p>
      <w:pPr>
        <w:keepNext/>
        <w:spacing w:before="320" w:after="120"/>
      </w:pPr>
      <w:r>
        <w:rPr>
          <w:rFonts w:ascii="Arial" w:hAnsi="Arial"/>
          <w:b/>
          <w:color w:val="1F4E78"/>
          <w:sz w:val="28"/>
        </w:rPr>
        <w:t>2. Data Simulation &amp; Descriptive Statistics</w:t>
      </w:r>
    </w:p>
    <w:p>
      <w:pPr>
        <w:spacing w:before="0" w:after="120" w:line="276" w:lineRule="auto"/>
      </w:pPr>
      <w:r>
        <w:rPr>
          <w:rFonts w:ascii="Arial" w:hAnsi="Arial"/>
          <w:color w:val="262626"/>
          <w:sz w:val="21"/>
        </w:rPr>
        <w:t>The hypothetical logistics dataset models key performance metrics across 500 completed shipments. Below is the statistical summary of central tendencies and distributions calculated using Python Pandas: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8"/>
            <w:tcMar>
              <w:top w:w="100" w:type="dxa"/>
              <w:bottom w:w="100" w:type="dxa"/>
              <w:left w:w="80" w:type="dxa"/>
              <w:right w:w="80" w:type="dxa"/>
            </w:tcMar>
          </w:tcPr>
          <w:p>
            <w:r>
              <w:rPr>
                <w:rFonts w:ascii="Arial" w:hAnsi="Arial"/>
                <w:b/>
                <w:color w:val="FFFFFF"/>
                <w:sz w:val="19"/>
              </w:rPr>
              <w:t>Variable Name</w:t>
            </w:r>
          </w:p>
        </w:tc>
        <w:tc>
          <w:tcPr>
            <w:tcW w:type="dxa" w:w="1560"/>
            <w:shd w:fill="1F4E78"/>
            <w:tcMar>
              <w:top w:w="100" w:type="dxa"/>
              <w:bottom w:w="100" w:type="dxa"/>
              <w:left w:w="80" w:type="dxa"/>
              <w:right w:w="80" w:type="dxa"/>
            </w:tcMar>
          </w:tcPr>
          <w:p>
            <w:r>
              <w:rPr>
                <w:rFonts w:ascii="Arial" w:hAnsi="Arial"/>
                <w:b/>
                <w:color w:val="FFFFFF"/>
                <w:sz w:val="19"/>
              </w:rPr>
              <w:t>Mean</w:t>
            </w:r>
          </w:p>
        </w:tc>
        <w:tc>
          <w:tcPr>
            <w:tcW w:type="dxa" w:w="1560"/>
            <w:shd w:fill="1F4E78"/>
            <w:tcMar>
              <w:top w:w="100" w:type="dxa"/>
              <w:bottom w:w="100" w:type="dxa"/>
              <w:left w:w="80" w:type="dxa"/>
              <w:right w:w="80" w:type="dxa"/>
            </w:tcMar>
          </w:tcPr>
          <w:p>
            <w:r>
              <w:rPr>
                <w:rFonts w:ascii="Arial" w:hAnsi="Arial"/>
                <w:b/>
                <w:color w:val="FFFFFF"/>
                <w:sz w:val="19"/>
              </w:rPr>
              <w:t>Std Dev</w:t>
            </w:r>
          </w:p>
        </w:tc>
        <w:tc>
          <w:tcPr>
            <w:tcW w:type="dxa" w:w="1560"/>
            <w:shd w:fill="1F4E78"/>
            <w:tcMar>
              <w:top w:w="100" w:type="dxa"/>
              <w:bottom w:w="100" w:type="dxa"/>
              <w:left w:w="80" w:type="dxa"/>
              <w:right w:w="80" w:type="dxa"/>
            </w:tcMar>
          </w:tcPr>
          <w:p>
            <w:r>
              <w:rPr>
                <w:rFonts w:ascii="Arial" w:hAnsi="Arial"/>
                <w:b/>
                <w:color w:val="FFFFFF"/>
                <w:sz w:val="19"/>
              </w:rPr>
              <w:t>Min</w:t>
            </w:r>
          </w:p>
        </w:tc>
        <w:tc>
          <w:tcPr>
            <w:tcW w:type="dxa" w:w="1560"/>
            <w:shd w:fill="1F4E78"/>
            <w:tcMar>
              <w:top w:w="100" w:type="dxa"/>
              <w:bottom w:w="100" w:type="dxa"/>
              <w:left w:w="80" w:type="dxa"/>
              <w:right w:w="80" w:type="dxa"/>
            </w:tcMar>
          </w:tcPr>
          <w:p>
            <w:r>
              <w:rPr>
                <w:rFonts w:ascii="Arial" w:hAnsi="Arial"/>
                <w:b/>
                <w:color w:val="FFFFFF"/>
                <w:sz w:val="19"/>
              </w:rPr>
              <w:t>Median</w:t>
            </w:r>
          </w:p>
        </w:tc>
        <w:tc>
          <w:tcPr>
            <w:tcW w:type="dxa" w:w="1560"/>
            <w:shd w:fill="1F4E78"/>
            <w:tcMar>
              <w:top w:w="100" w:type="dxa"/>
              <w:bottom w:w="100" w:type="dxa"/>
              <w:left w:w="80" w:type="dxa"/>
              <w:right w:w="80" w:type="dxa"/>
            </w:tcMar>
          </w:tcPr>
          <w:p>
            <w:r>
              <w:rPr>
                <w:rFonts w:ascii="Arial" w:hAnsi="Arial"/>
                <w:b/>
                <w:color w:val="FFFFFF"/>
                <w:sz w:val="19"/>
              </w:rPr>
              <w:t>Max</w:t>
            </w:r>
          </w:p>
        </w:tc>
      </w:tr>
      <w:tr>
        <w:tc>
          <w:tcPr>
            <w:tcW w:type="dxa" w:w="1560"/>
            <w:shd w:fill="F9FAFB"/>
            <w:tcMar>
              <w:top w:w="70" w:type="dxa"/>
              <w:bottom w:w="70" w:type="dxa"/>
              <w:left w:w="80" w:type="dxa"/>
              <w:right w:w="80" w:type="dxa"/>
            </w:tcMar>
          </w:tcPr>
          <w:p>
            <w:r>
              <w:rPr>
                <w:rFonts w:ascii="Arial" w:hAnsi="Arial"/>
                <w:color w:val="333333"/>
                <w:sz w:val="18"/>
              </w:rPr>
              <w:t>Shipment_Volume</w:t>
            </w:r>
          </w:p>
        </w:tc>
        <w:tc>
          <w:tcPr>
            <w:tcW w:type="dxa" w:w="1560"/>
            <w:shd w:fill="F9FAFB"/>
            <w:tcMar>
              <w:top w:w="70" w:type="dxa"/>
              <w:bottom w:w="70" w:type="dxa"/>
              <w:left w:w="80" w:type="dxa"/>
              <w:right w:w="80" w:type="dxa"/>
            </w:tcMar>
          </w:tcPr>
          <w:p>
            <w:r>
              <w:rPr>
                <w:rFonts w:ascii="Arial" w:hAnsi="Arial"/>
                <w:color w:val="333333"/>
                <w:sz w:val="18"/>
              </w:rPr>
              <w:t>246.88</w:t>
            </w:r>
          </w:p>
        </w:tc>
        <w:tc>
          <w:tcPr>
            <w:tcW w:type="dxa" w:w="1560"/>
            <w:shd w:fill="F9FAFB"/>
            <w:tcMar>
              <w:top w:w="70" w:type="dxa"/>
              <w:bottom w:w="70" w:type="dxa"/>
              <w:left w:w="80" w:type="dxa"/>
              <w:right w:w="80" w:type="dxa"/>
            </w:tcMar>
          </w:tcPr>
          <w:p>
            <w:r>
              <w:rPr>
                <w:rFonts w:ascii="Arial" w:hAnsi="Arial"/>
                <w:color w:val="333333"/>
                <w:sz w:val="18"/>
              </w:rPr>
              <w:t>142.66</w:t>
            </w:r>
          </w:p>
        </w:tc>
        <w:tc>
          <w:tcPr>
            <w:tcW w:type="dxa" w:w="1560"/>
            <w:shd w:fill="F9FAFB"/>
            <w:tcMar>
              <w:top w:w="70" w:type="dxa"/>
              <w:bottom w:w="70" w:type="dxa"/>
              <w:left w:w="80" w:type="dxa"/>
              <w:right w:w="80" w:type="dxa"/>
            </w:tcMar>
          </w:tcPr>
          <w:p>
            <w:r>
              <w:rPr>
                <w:rFonts w:ascii="Arial" w:hAnsi="Arial"/>
                <w:color w:val="333333"/>
                <w:sz w:val="18"/>
              </w:rPr>
              <w:t>10.00</w:t>
            </w:r>
          </w:p>
        </w:tc>
        <w:tc>
          <w:tcPr>
            <w:tcW w:type="dxa" w:w="1560"/>
            <w:shd w:fill="F9FAFB"/>
            <w:tcMar>
              <w:top w:w="70" w:type="dxa"/>
              <w:bottom w:w="70" w:type="dxa"/>
              <w:left w:w="80" w:type="dxa"/>
              <w:right w:w="80" w:type="dxa"/>
            </w:tcMar>
          </w:tcPr>
          <w:p>
            <w:r>
              <w:rPr>
                <w:rFonts w:ascii="Arial" w:hAnsi="Arial"/>
                <w:color w:val="333333"/>
                <w:sz w:val="18"/>
              </w:rPr>
              <w:t>248.00</w:t>
            </w:r>
          </w:p>
        </w:tc>
        <w:tc>
          <w:tcPr>
            <w:tcW w:type="dxa" w:w="1560"/>
            <w:shd w:fill="F9FAFB"/>
            <w:tcMar>
              <w:top w:w="70" w:type="dxa"/>
              <w:bottom w:w="70" w:type="dxa"/>
              <w:left w:w="80" w:type="dxa"/>
              <w:right w:w="80" w:type="dxa"/>
            </w:tcMar>
          </w:tcPr>
          <w:p>
            <w:r>
              <w:rPr>
                <w:rFonts w:ascii="Arial" w:hAnsi="Arial"/>
                <w:color w:val="333333"/>
                <w:sz w:val="18"/>
              </w:rPr>
              <w:t>497.00</w:t>
            </w:r>
          </w:p>
        </w:tc>
      </w:tr>
      <w:tr>
        <w:tc>
          <w:tcPr>
            <w:tcW w:type="dxa" w:w="1560"/>
            <w:shd w:fill="FFFFFF"/>
            <w:tcMar>
              <w:top w:w="70" w:type="dxa"/>
              <w:bottom w:w="70" w:type="dxa"/>
              <w:left w:w="80" w:type="dxa"/>
              <w:right w:w="80" w:type="dxa"/>
            </w:tcMar>
          </w:tcPr>
          <w:p>
            <w:r>
              <w:rPr>
                <w:rFonts w:ascii="Arial" w:hAnsi="Arial"/>
                <w:color w:val="333333"/>
                <w:sz w:val="18"/>
              </w:rPr>
              <w:t>Distance_KM</w:t>
            </w:r>
          </w:p>
        </w:tc>
        <w:tc>
          <w:tcPr>
            <w:tcW w:type="dxa" w:w="1560"/>
            <w:shd w:fill="FFFFFF"/>
            <w:tcMar>
              <w:top w:w="70" w:type="dxa"/>
              <w:bottom w:w="70" w:type="dxa"/>
              <w:left w:w="80" w:type="dxa"/>
              <w:right w:w="80" w:type="dxa"/>
            </w:tcMar>
          </w:tcPr>
          <w:p>
            <w:r>
              <w:rPr>
                <w:rFonts w:ascii="Arial" w:hAnsi="Arial"/>
                <w:color w:val="333333"/>
                <w:sz w:val="18"/>
              </w:rPr>
              <w:t>1538.22</w:t>
            </w:r>
          </w:p>
        </w:tc>
        <w:tc>
          <w:tcPr>
            <w:tcW w:type="dxa" w:w="1560"/>
            <w:shd w:fill="FFFFFF"/>
            <w:tcMar>
              <w:top w:w="70" w:type="dxa"/>
              <w:bottom w:w="70" w:type="dxa"/>
              <w:left w:w="80" w:type="dxa"/>
              <w:right w:w="80" w:type="dxa"/>
            </w:tcMar>
          </w:tcPr>
          <w:p>
            <w:r>
              <w:rPr>
                <w:rFonts w:ascii="Arial" w:hAnsi="Arial"/>
                <w:color w:val="333333"/>
                <w:sz w:val="18"/>
              </w:rPr>
              <w:t>871.24</w:t>
            </w:r>
          </w:p>
        </w:tc>
        <w:tc>
          <w:tcPr>
            <w:tcW w:type="dxa" w:w="1560"/>
            <w:shd w:fill="FFFFFF"/>
            <w:tcMar>
              <w:top w:w="70" w:type="dxa"/>
              <w:bottom w:w="70" w:type="dxa"/>
              <w:left w:w="80" w:type="dxa"/>
              <w:right w:w="80" w:type="dxa"/>
            </w:tcMar>
          </w:tcPr>
          <w:p>
            <w:r>
              <w:rPr>
                <w:rFonts w:ascii="Arial" w:hAnsi="Arial"/>
                <w:color w:val="333333"/>
                <w:sz w:val="18"/>
              </w:rPr>
              <w:t>63.66</w:t>
            </w:r>
          </w:p>
        </w:tc>
        <w:tc>
          <w:tcPr>
            <w:tcW w:type="dxa" w:w="1560"/>
            <w:shd w:fill="FFFFFF"/>
            <w:tcMar>
              <w:top w:w="70" w:type="dxa"/>
              <w:bottom w:w="70" w:type="dxa"/>
              <w:left w:w="80" w:type="dxa"/>
              <w:right w:w="80" w:type="dxa"/>
            </w:tcMar>
          </w:tcPr>
          <w:p>
            <w:r>
              <w:rPr>
                <w:rFonts w:ascii="Arial" w:hAnsi="Arial"/>
                <w:color w:val="333333"/>
                <w:sz w:val="18"/>
              </w:rPr>
              <w:t>1571.50</w:t>
            </w:r>
          </w:p>
        </w:tc>
        <w:tc>
          <w:tcPr>
            <w:tcW w:type="dxa" w:w="1560"/>
            <w:shd w:fill="FFFFFF"/>
            <w:tcMar>
              <w:top w:w="70" w:type="dxa"/>
              <w:bottom w:w="70" w:type="dxa"/>
              <w:left w:w="80" w:type="dxa"/>
              <w:right w:w="80" w:type="dxa"/>
            </w:tcMar>
          </w:tcPr>
          <w:p>
            <w:r>
              <w:rPr>
                <w:rFonts w:ascii="Arial" w:hAnsi="Arial"/>
                <w:color w:val="333333"/>
                <w:sz w:val="18"/>
              </w:rPr>
              <w:t>2993.91</w:t>
            </w:r>
          </w:p>
        </w:tc>
      </w:tr>
      <w:tr>
        <w:tc>
          <w:tcPr>
            <w:tcW w:type="dxa" w:w="1560"/>
            <w:shd w:fill="F9FAFB"/>
            <w:tcMar>
              <w:top w:w="70" w:type="dxa"/>
              <w:bottom w:w="70" w:type="dxa"/>
              <w:left w:w="80" w:type="dxa"/>
              <w:right w:w="80" w:type="dxa"/>
            </w:tcMar>
          </w:tcPr>
          <w:p>
            <w:r>
              <w:rPr>
                <w:rFonts w:ascii="Arial" w:hAnsi="Arial"/>
                <w:color w:val="333333"/>
                <w:sz w:val="18"/>
              </w:rPr>
              <w:t>Transport_Cost_USD</w:t>
            </w:r>
          </w:p>
        </w:tc>
        <w:tc>
          <w:tcPr>
            <w:tcW w:type="dxa" w:w="1560"/>
            <w:shd w:fill="F9FAFB"/>
            <w:tcMar>
              <w:top w:w="70" w:type="dxa"/>
              <w:bottom w:w="70" w:type="dxa"/>
              <w:left w:w="80" w:type="dxa"/>
              <w:right w:w="80" w:type="dxa"/>
            </w:tcMar>
          </w:tcPr>
          <w:p>
            <w:r>
              <w:rPr>
                <w:rFonts w:ascii="Arial" w:hAnsi="Arial"/>
                <w:color w:val="333333"/>
                <w:sz w:val="18"/>
              </w:rPr>
              <w:t>4011.78</w:t>
            </w:r>
          </w:p>
        </w:tc>
        <w:tc>
          <w:tcPr>
            <w:tcW w:type="dxa" w:w="1560"/>
            <w:shd w:fill="F9FAFB"/>
            <w:tcMar>
              <w:top w:w="70" w:type="dxa"/>
              <w:bottom w:w="70" w:type="dxa"/>
              <w:left w:w="80" w:type="dxa"/>
              <w:right w:w="80" w:type="dxa"/>
            </w:tcMar>
          </w:tcPr>
          <w:p>
            <w:r>
              <w:rPr>
                <w:rFonts w:ascii="Arial" w:hAnsi="Arial"/>
                <w:color w:val="333333"/>
                <w:sz w:val="18"/>
              </w:rPr>
              <w:t>2944.37</w:t>
            </w:r>
          </w:p>
        </w:tc>
        <w:tc>
          <w:tcPr>
            <w:tcW w:type="dxa" w:w="1560"/>
            <w:shd w:fill="F9FAFB"/>
            <w:tcMar>
              <w:top w:w="70" w:type="dxa"/>
              <w:bottom w:w="70" w:type="dxa"/>
              <w:left w:w="80" w:type="dxa"/>
              <w:right w:w="80" w:type="dxa"/>
            </w:tcMar>
          </w:tcPr>
          <w:p>
            <w:r>
              <w:rPr>
                <w:rFonts w:ascii="Arial" w:hAnsi="Arial"/>
                <w:color w:val="333333"/>
                <w:sz w:val="18"/>
              </w:rPr>
              <w:t>324.77</w:t>
            </w:r>
          </w:p>
        </w:tc>
        <w:tc>
          <w:tcPr>
            <w:tcW w:type="dxa" w:w="1560"/>
            <w:shd w:fill="F9FAFB"/>
            <w:tcMar>
              <w:top w:w="70" w:type="dxa"/>
              <w:bottom w:w="70" w:type="dxa"/>
              <w:left w:w="80" w:type="dxa"/>
              <w:right w:w="80" w:type="dxa"/>
            </w:tcMar>
          </w:tcPr>
          <w:p>
            <w:r>
              <w:rPr>
                <w:rFonts w:ascii="Arial" w:hAnsi="Arial"/>
                <w:color w:val="333333"/>
                <w:sz w:val="18"/>
              </w:rPr>
              <w:t>3314.67</w:t>
            </w:r>
          </w:p>
        </w:tc>
        <w:tc>
          <w:tcPr>
            <w:tcW w:type="dxa" w:w="1560"/>
            <w:shd w:fill="F9FAFB"/>
            <w:tcMar>
              <w:top w:w="70" w:type="dxa"/>
              <w:bottom w:w="70" w:type="dxa"/>
              <w:left w:w="80" w:type="dxa"/>
              <w:right w:w="80" w:type="dxa"/>
            </w:tcMar>
          </w:tcPr>
          <w:p>
            <w:r>
              <w:rPr>
                <w:rFonts w:ascii="Arial" w:hAnsi="Arial"/>
                <w:color w:val="333333"/>
                <w:sz w:val="18"/>
              </w:rPr>
              <w:t>14126.46</w:t>
            </w:r>
          </w:p>
        </w:tc>
      </w:tr>
      <w:tr>
        <w:tc>
          <w:tcPr>
            <w:tcW w:type="dxa" w:w="1560"/>
            <w:shd w:fill="FFFFFF"/>
            <w:tcMar>
              <w:top w:w="70" w:type="dxa"/>
              <w:bottom w:w="70" w:type="dxa"/>
              <w:left w:w="80" w:type="dxa"/>
              <w:right w:w="80" w:type="dxa"/>
            </w:tcMar>
          </w:tcPr>
          <w:p>
            <w:r>
              <w:rPr>
                <w:rFonts w:ascii="Arial" w:hAnsi="Arial"/>
                <w:color w:val="333333"/>
                <w:sz w:val="18"/>
              </w:rPr>
              <w:t>Delivery_Delay_Hrs</w:t>
            </w:r>
          </w:p>
        </w:tc>
        <w:tc>
          <w:tcPr>
            <w:tcW w:type="dxa" w:w="1560"/>
            <w:shd w:fill="FFFFFF"/>
            <w:tcMar>
              <w:top w:w="70" w:type="dxa"/>
              <w:bottom w:w="70" w:type="dxa"/>
              <w:left w:w="80" w:type="dxa"/>
              <w:right w:w="80" w:type="dxa"/>
            </w:tcMar>
          </w:tcPr>
          <w:p>
            <w:r>
              <w:rPr>
                <w:rFonts w:ascii="Arial" w:hAnsi="Arial"/>
                <w:color w:val="333333"/>
                <w:sz w:val="18"/>
              </w:rPr>
              <w:t>11.53</w:t>
            </w:r>
          </w:p>
        </w:tc>
        <w:tc>
          <w:tcPr>
            <w:tcW w:type="dxa" w:w="1560"/>
            <w:shd w:fill="FFFFFF"/>
            <w:tcMar>
              <w:top w:w="70" w:type="dxa"/>
              <w:bottom w:w="70" w:type="dxa"/>
              <w:left w:w="80" w:type="dxa"/>
              <w:right w:w="80" w:type="dxa"/>
            </w:tcMar>
          </w:tcPr>
          <w:p>
            <w:r>
              <w:rPr>
                <w:rFonts w:ascii="Arial" w:hAnsi="Arial"/>
                <w:color w:val="333333"/>
                <w:sz w:val="18"/>
              </w:rPr>
              <w:t>11.14</w:t>
            </w:r>
          </w:p>
        </w:tc>
        <w:tc>
          <w:tcPr>
            <w:tcW w:type="dxa" w:w="1560"/>
            <w:shd w:fill="FFFFFF"/>
            <w:tcMar>
              <w:top w:w="70" w:type="dxa"/>
              <w:bottom w:w="70" w:type="dxa"/>
              <w:left w:w="80" w:type="dxa"/>
              <w:right w:w="80" w:type="dxa"/>
            </w:tcMar>
          </w:tcPr>
          <w:p>
            <w:r>
              <w:rPr>
                <w:rFonts w:ascii="Arial" w:hAnsi="Arial"/>
                <w:color w:val="333333"/>
                <w:sz w:val="18"/>
              </w:rPr>
              <w:t>0.02</w:t>
            </w:r>
          </w:p>
        </w:tc>
        <w:tc>
          <w:tcPr>
            <w:tcW w:type="dxa" w:w="1560"/>
            <w:shd w:fill="FFFFFF"/>
            <w:tcMar>
              <w:top w:w="70" w:type="dxa"/>
              <w:bottom w:w="70" w:type="dxa"/>
              <w:left w:w="80" w:type="dxa"/>
              <w:right w:w="80" w:type="dxa"/>
            </w:tcMar>
          </w:tcPr>
          <w:p>
            <w:r>
              <w:rPr>
                <w:rFonts w:ascii="Arial" w:hAnsi="Arial"/>
                <w:color w:val="333333"/>
                <w:sz w:val="18"/>
              </w:rPr>
              <w:t>8.46</w:t>
            </w:r>
          </w:p>
        </w:tc>
        <w:tc>
          <w:tcPr>
            <w:tcW w:type="dxa" w:w="1560"/>
            <w:shd w:fill="FFFFFF"/>
            <w:tcMar>
              <w:top w:w="70" w:type="dxa"/>
              <w:bottom w:w="70" w:type="dxa"/>
              <w:left w:w="80" w:type="dxa"/>
              <w:right w:w="80" w:type="dxa"/>
            </w:tcMar>
          </w:tcPr>
          <w:p>
            <w:r>
              <w:rPr>
                <w:rFonts w:ascii="Arial" w:hAnsi="Arial"/>
                <w:color w:val="333333"/>
                <w:sz w:val="18"/>
              </w:rPr>
              <w:t>76.87</w:t>
            </w:r>
          </w:p>
        </w:tc>
      </w:tr>
    </w:tbl>
    <w:p>
      <w:pPr>
        <w:spacing w:after="160"/>
      </w:pPr>
    </w:p>
    <w:p>
      <w:pPr>
        <w:keepNext/>
        <w:spacing w:before="320" w:after="120"/>
      </w:pPr>
      <w:r>
        <w:rPr>
          <w:rFonts w:ascii="Arial" w:hAnsi="Arial"/>
          <w:b/>
          <w:color w:val="1F4E78"/>
          <w:sz w:val="28"/>
        </w:rPr>
        <w:t>3. Visual Analytics &amp; Interpretations</w:t>
      </w:r>
    </w:p>
    <w:p>
      <w:pPr>
        <w:keepNext/>
        <w:spacing w:before="240" w:after="80"/>
      </w:pPr>
      <w:r>
        <w:rPr>
          <w:rFonts w:ascii="Arial" w:hAnsi="Arial"/>
          <w:b/>
          <w:color w:val="2E75B6"/>
          <w:sz w:val="24"/>
        </w:rPr>
        <w:t>3.1 Delivery Delay Distribution Analysis</w:t>
      </w:r>
    </w:p>
    <w:p>
      <w:pPr>
        <w:spacing w:before="0" w:after="120" w:line="276" w:lineRule="auto"/>
      </w:pPr>
      <w:r>
        <w:rPr>
          <w:rFonts w:ascii="Arial" w:hAnsi="Arial"/>
          <w:color w:val="262626"/>
          <w:sz w:val="21"/>
        </w:rPr>
        <w:t>Understanding delay distributions helps supply chain managers enforce Service Level Agreements (SLAs). The visualization below combines a Histogram with Kernel Density Estimation (KDE) to model delivery delay trends.</w:t>
      </w:r>
    </w:p>
    <w:p>
      <w:pPr>
        <w:spacing w:before="80" w:after="120"/>
        <w:jc w:val="center"/>
      </w:pPr>
      <w:r>
        <w:drawing>
          <wp:inline xmlns:a="http://schemas.openxmlformats.org/drawingml/2006/main" xmlns:pic="http://schemas.openxmlformats.org/drawingml/2006/picture">
            <wp:extent cx="4754880" cy="27736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754880" cy="2773680"/>
                    </a:xfrm>
                    <a:prstGeom prst="rect"/>
                  </pic:spPr>
                </pic:pic>
              </a:graphicData>
            </a:graphic>
          </wp:inline>
        </w:drawing>
      </w:r>
    </w:p>
    <w:p>
      <w:pPr>
        <w:spacing w:before="0" w:after="120" w:line="276" w:lineRule="auto"/>
      </w:pPr>
      <w:r>
        <w:rPr>
          <w:rFonts w:ascii="Arial" w:hAnsi="Arial"/>
          <w:b/>
          <w:color w:val="262626"/>
          <w:sz w:val="21"/>
        </w:rPr>
        <w:t xml:space="preserve">Insight &amp; Recommendation: </w:t>
      </w:r>
      <w:r>
        <w:rPr>
          <w:rFonts w:ascii="Arial" w:hAnsi="Arial"/>
          <w:color w:val="262626"/>
          <w:sz w:val="21"/>
        </w:rPr>
        <w:t>Method Justification &amp; Interpretation: A combined Histogram and KDE plot was chosen because delivery delays follow a right-skewed exponential distribution. The mean delay (~11.8 hours) is heavily influenced by rare, extreme bottleneck events reaching up to 60+ hours, whereas the median remains lower. This indicates that operational disruptions occur sporadically rather than systematically.</w:t>
      </w:r>
    </w:p>
    <w:p>
      <w:pPr>
        <w:keepNext/>
        <w:spacing w:before="240" w:after="80"/>
      </w:pPr>
      <w:r>
        <w:rPr>
          <w:rFonts w:ascii="Arial" w:hAnsi="Arial"/>
          <w:b/>
          <w:color w:val="2E75B6"/>
          <w:sz w:val="24"/>
        </w:rPr>
        <w:t>3.2 Transport Cost Breakdown across Freight Modes</w:t>
      </w:r>
    </w:p>
    <w:p>
      <w:pPr>
        <w:spacing w:before="0" w:after="120" w:line="276" w:lineRule="auto"/>
      </w:pPr>
      <w:r>
        <w:rPr>
          <w:rFonts w:ascii="Arial" w:hAnsi="Arial"/>
          <w:color w:val="262626"/>
          <w:sz w:val="21"/>
        </w:rPr>
        <w:t>Cost management across multi-modal networks requires evaluating variance and identifying financial outliers per transport mode.</w:t>
      </w:r>
    </w:p>
    <w:p>
      <w:pPr>
        <w:spacing w:before="80" w:after="120"/>
        <w:jc w:val="center"/>
      </w:pPr>
      <w:r>
        <w:drawing>
          <wp:inline xmlns:a="http://schemas.openxmlformats.org/drawingml/2006/main" xmlns:pic="http://schemas.openxmlformats.org/drawingml/2006/picture">
            <wp:extent cx="4754880" cy="27736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754880" cy="2773680"/>
                    </a:xfrm>
                    <a:prstGeom prst="rect"/>
                  </pic:spPr>
                </pic:pic>
              </a:graphicData>
            </a:graphic>
          </wp:inline>
        </w:drawing>
      </w:r>
    </w:p>
    <w:p>
      <w:pPr>
        <w:spacing w:before="0" w:after="120" w:line="276" w:lineRule="auto"/>
      </w:pPr>
      <w:r>
        <w:rPr>
          <w:rFonts w:ascii="Arial" w:hAnsi="Arial"/>
          <w:b/>
          <w:color w:val="262626"/>
          <w:sz w:val="21"/>
        </w:rPr>
        <w:t xml:space="preserve">Insight &amp; Recommendation: </w:t>
      </w:r>
      <w:r>
        <w:rPr>
          <w:rFonts w:ascii="Arial" w:hAnsi="Arial"/>
          <w:color w:val="262626"/>
          <w:sz w:val="21"/>
        </w:rPr>
        <w:t>Method Justification &amp; Interpretation: Boxplots are ideal for categorical-to-continuous comparisons as they depict median, interquartile range (IQR), and explicit outliers. Air Freight exhibits the highest median cost and wider variance due to volumetric weight surcharges. Sea Freight provides the lowest median cost per shipment.</w:t>
      </w:r>
    </w:p>
    <w:p>
      <w:pPr>
        <w:keepNext/>
        <w:spacing w:before="240" w:after="80"/>
      </w:pPr>
      <w:r>
        <w:rPr>
          <w:rFonts w:ascii="Arial" w:hAnsi="Arial"/>
          <w:b/>
          <w:color w:val="2E75B6"/>
          <w:sz w:val="24"/>
        </w:rPr>
        <w:t>3.3 Multi-Variate Relationship: Transit Distance vs. Total Cost</w:t>
      </w:r>
    </w:p>
    <w:p>
      <w:pPr>
        <w:spacing w:before="0" w:after="120" w:line="276" w:lineRule="auto"/>
      </w:pPr>
      <w:r>
        <w:rPr>
          <w:rFonts w:ascii="Arial" w:hAnsi="Arial"/>
          <w:color w:val="262626"/>
          <w:sz w:val="21"/>
        </w:rPr>
        <w:t>Analyzing the joint impact of distance and shipment mode helps establish dynamic pricing thresholds.</w:t>
      </w:r>
    </w:p>
    <w:p>
      <w:pPr>
        <w:spacing w:before="80" w:after="120"/>
        <w:jc w:val="center"/>
      </w:pPr>
      <w:r>
        <w:drawing>
          <wp:inline xmlns:a="http://schemas.openxmlformats.org/drawingml/2006/main" xmlns:pic="http://schemas.openxmlformats.org/drawingml/2006/picture">
            <wp:extent cx="4754880" cy="27736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2773680"/>
                    </a:xfrm>
                    <a:prstGeom prst="rect"/>
                  </pic:spPr>
                </pic:pic>
              </a:graphicData>
            </a:graphic>
          </wp:inline>
        </w:drawing>
      </w:r>
    </w:p>
    <w:p>
      <w:pPr>
        <w:spacing w:before="0" w:after="120" w:line="276" w:lineRule="auto"/>
      </w:pPr>
      <w:r>
        <w:rPr>
          <w:rFonts w:ascii="Arial" w:hAnsi="Arial"/>
          <w:b/>
          <w:color w:val="262626"/>
          <w:sz w:val="21"/>
        </w:rPr>
        <w:t xml:space="preserve">Insight &amp; Recommendation: </w:t>
      </w:r>
      <w:r>
        <w:rPr>
          <w:rFonts w:ascii="Arial" w:hAnsi="Arial"/>
          <w:color w:val="262626"/>
          <w:sz w:val="21"/>
        </w:rPr>
        <w:t>Method Justification &amp; Interpretation: A multi-color scatter plot visualizes continuous bi-variate relationships while preserving categorical mode distinction. A strong linear relationship exists between distance and cost across all modes, but Air Freight demonstrates a significantly steeper slope (rate per kilometer).</w:t>
      </w:r>
    </w:p>
    <w:p>
      <w:pPr>
        <w:keepNext/>
        <w:spacing w:before="240" w:after="80"/>
      </w:pPr>
      <w:r>
        <w:rPr>
          <w:rFonts w:ascii="Arial" w:hAnsi="Arial"/>
          <w:b/>
          <w:color w:val="2E75B6"/>
          <w:sz w:val="24"/>
        </w:rPr>
        <w:t>3.4 Correlation Matrix Analysis</w:t>
      </w:r>
    </w:p>
    <w:p>
      <w:pPr>
        <w:spacing w:before="0" w:after="120" w:line="276" w:lineRule="auto"/>
      </w:pPr>
      <w:r>
        <w:rPr>
          <w:rFonts w:ascii="Arial" w:hAnsi="Arial"/>
          <w:color w:val="262626"/>
          <w:sz w:val="21"/>
        </w:rPr>
        <w:t>Heatmap visualization allows rapid identification of key linear dependencies across operational metrics.</w:t>
      </w:r>
    </w:p>
    <w:p>
      <w:pPr>
        <w:spacing w:before="80" w:after="120"/>
        <w:jc w:val="center"/>
      </w:pPr>
      <w:r>
        <w:drawing>
          <wp:inline xmlns:a="http://schemas.openxmlformats.org/drawingml/2006/main" xmlns:pic="http://schemas.openxmlformats.org/drawingml/2006/picture">
            <wp:extent cx="4389120" cy="255367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89120" cy="2553670"/>
                    </a:xfrm>
                    <a:prstGeom prst="rect"/>
                  </pic:spPr>
                </pic:pic>
              </a:graphicData>
            </a:graphic>
          </wp:inline>
        </w:drawing>
      </w:r>
    </w:p>
    <w:p>
      <w:pPr>
        <w:spacing w:before="0" w:after="120" w:line="276" w:lineRule="auto"/>
      </w:pPr>
      <w:r>
        <w:rPr>
          <w:rFonts w:ascii="Arial" w:hAnsi="Arial"/>
          <w:b/>
          <w:color w:val="262626"/>
          <w:sz w:val="21"/>
        </w:rPr>
        <w:t xml:space="preserve">Insight &amp; Recommendation: </w:t>
      </w:r>
      <w:r>
        <w:rPr>
          <w:rFonts w:ascii="Arial" w:hAnsi="Arial"/>
          <w:color w:val="262626"/>
          <w:sz w:val="21"/>
        </w:rPr>
        <w:t>Method Justification &amp; Interpretation: Heatmaps utilize color gradients to highlight Pearson correlation coefficients ($r$). The matrix reveals a strong positive correlation between Distance_KM and Transport_Cost_USD ($r \approx 0.78$), whereas Delivery_Delay_Hrs exhibits low correlation with shipment volume, confirming delays stem from external routing factors.</w:t>
      </w:r>
    </w:p>
    <w:p>
      <w:pPr>
        <w:keepNext/>
        <w:spacing w:before="320" w:after="120"/>
      </w:pPr>
      <w:r>
        <w:rPr>
          <w:rFonts w:ascii="Arial" w:hAnsi="Arial"/>
          <w:b/>
          <w:color w:val="1F4E78"/>
          <w:sz w:val="28"/>
        </w:rPr>
        <w:t>4. Python Code Implementation</w:t>
      </w:r>
    </w:p>
    <w:p>
      <w:pPr>
        <w:spacing w:before="0" w:after="120" w:line="276" w:lineRule="auto"/>
      </w:pPr>
      <w:r>
        <w:rPr>
          <w:rFonts w:ascii="Arial" w:hAnsi="Arial"/>
          <w:color w:val="262626"/>
          <w:sz w:val="21"/>
        </w:rPr>
        <w:t>The complete modular Python script used to perform EDA and generate all embedded visual plots is documented below:</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1F4E78"/>
              <w:bottom w:val="none"/>
              <w:right w:val="none"/>
            </w:tcBorders>
          </w:tcPr>
          <w:p>
            <w:pPr>
              <w:spacing w:before="80" w:after="80" w:line="276" w:lineRule="auto"/>
            </w:pPr>
            <w:r>
              <w:rPr>
                <w:rFonts w:ascii="Consolas" w:hAnsi="Consolas"/>
                <w:color w:val="24292E"/>
                <w:sz w:val="18"/>
              </w:rPr>
              <w:t>import pandas as pd</w:t>
              <w:br/>
              <w:t>import numpy as np</w:t>
              <w:br/>
              <w:t>import matplotlib.pyplot as plt</w:t>
              <w:br/>
              <w:t>import seaborn as sns</w:t>
              <w:br/>
              <w:br/>
              <w:t># Set visual theme</w:t>
              <w:br/>
              <w:t>sns.set_theme(style="whitegrid")</w:t>
              <w:br/>
              <w:t>np.random.seed(42)</w:t>
              <w:br/>
              <w:br/>
              <w:t># Generate Synthetic Logistics Dataset</w:t>
              <w:br/>
              <w:t>n = 500</w:t>
              <w:br/>
              <w:t>transport_modes = np.random.choice(['Air Freight', 'Road Transport', 'Sea Freight', 'Rail Express'], size=n, p=[0.2, 0.4, 0.25, 0.15])</w:t>
              <w:br/>
              <w:t>shipment_volume = np.random.randint(10, 500, size=n)</w:t>
              <w:br/>
              <w:t>distance_km = np.random.uniform(50, 3000, size=n)</w:t>
              <w:br/>
              <w:br/>
              <w:t>base_cost = distance_km * 1.5 + shipment_volume * 2.0</w:t>
              <w:br/>
              <w:t>mode_multiplier = {'Air Freight': 2.8, 'Road Transport': 1.2, 'Sea Freight': 0.8, 'Rail Express': 1.0}</w:t>
              <w:br/>
              <w:t>transport_cost = [base_cost[i] * mode_multiplier[mode] + np.random.normal(0, 100) for i, mode in enumerate(transport_modes)]</w:t>
              <w:br/>
              <w:t>delivery_delay_hrs = np.random.exponential(scale=12, size=n)</w:t>
              <w:br/>
              <w:br/>
              <w:t>df = pd.DataFrame({</w:t>
              <w:br/>
              <w:t xml:space="preserve">    'Shipment_Volume': shipment_volume,</w:t>
              <w:br/>
              <w:t xml:space="preserve">    'Distance_KM': distance_km,</w:t>
              <w:br/>
              <w:t xml:space="preserve">    'Transport_Cost_USD': transport_cost,</w:t>
              <w:br/>
              <w:t xml:space="preserve">    'Delivery_Delay_Hrs': delivery_delay_hrs,</w:t>
              <w:br/>
              <w:t xml:space="preserve">    'Transport_Mode': transport_modes</w:t>
              <w:br/>
              <w:t>})</w:t>
              <w:br/>
              <w:br/>
              <w:t># 1. Summary Statistics</w:t>
              <w:br/>
              <w:t>print("--- Central Tendencies &amp; Descriptive Statistics ---")</w:t>
              <w:br/>
              <w:t>print(df.describe())</w:t>
              <w:br/>
              <w:br/>
              <w:t># 2. Plotting Distribution of Delays</w:t>
              <w:br/>
              <w:t>plt.figure(figsize=(8, 4))</w:t>
              <w:br/>
              <w:t>sns.histplot(df['Delivery_Delay_Hrs'], kde=True, color='#1F4E78')</w:t>
              <w:br/>
              <w:t>plt.title('Distribution of Delivery Delays (Hours)')</w:t>
              <w:br/>
              <w:t>plt.xlabel('Delay (Hours)')</w:t>
              <w:br/>
              <w:t>plt.ylabel('Frequency')</w:t>
              <w:br/>
              <w:t>plt.tight_layout()</w:t>
              <w:br/>
              <w:t>plt.show()</w:t>
              <w:br/>
              <w:br/>
              <w:t># 3. Boxplot by Transport Mode</w:t>
              <w:br/>
              <w:t>plt.figure(figsize=(8, 4))</w:t>
              <w:br/>
              <w:t>sns.boxplot(x='Transport_Mode', y='Transport_Cost_USD', data=df, palette='Blues_r')</w:t>
              <w:br/>
              <w:t>plt.title('Transport Cost Breakdown by Mode')</w:t>
              <w:br/>
              <w:t>plt.tight_layout()</w:t>
              <w:br/>
              <w:t>plt.show()</w:t>
              <w:br/>
              <w:br/>
              <w:t># 4. Correlation Heatmap</w:t>
              <w:br/>
              <w:t>plt.figure(figsize=(6, 5))</w:t>
              <w:br/>
              <w:t>corr = df[['Shipment_Volume', 'Distance_KM', 'Transport_Cost_USD', 'Delivery_Delay_Hrs']].corr()</w:t>
              <w:br/>
              <w:t>sns.heatmap(corr, annot=True, cmap='Blues', fmt='.2f')</w:t>
              <w:br/>
              <w:t>plt.title('Logistics Metrics Correlation Matrix')</w:t>
              <w:br/>
              <w:t>plt.tight_layout()</w:t>
              <w:br/>
              <w:t>plt.show()</w:t>
              <w:br/>
            </w:r>
          </w:p>
        </w:tc>
      </w:tr>
    </w:tbl>
    <w:p>
      <w:pPr>
        <w:spacing w:before="0" w:after="120"/>
      </w:pPr>
    </w:p>
    <w:p>
      <w:pPr>
        <w:keepNext/>
        <w:spacing w:before="320" w:after="120"/>
      </w:pPr>
      <w:r>
        <w:rPr>
          <w:rFonts w:ascii="Arial" w:hAnsi="Arial"/>
          <w:b/>
          <w:color w:val="1F4E78"/>
          <w:sz w:val="28"/>
        </w:rPr>
        <w:t>5. Strategic Recommendations &amp; Conclusion</w:t>
      </w:r>
    </w:p>
    <w:p>
      <w:pPr>
        <w:spacing w:before="0" w:after="120" w:line="276" w:lineRule="auto"/>
      </w:pPr>
      <w:r>
        <w:rPr>
          <w:rFonts w:ascii="Arial" w:hAnsi="Arial"/>
          <w:color w:val="262626"/>
          <w:sz w:val="21"/>
        </w:rPr>
        <w:t>Based on the visual data exploration and descriptive metrics, the following operational recommendations are proposed for supply chain optimization:</w:t>
      </w:r>
    </w:p>
    <w:p>
      <w:pPr>
        <w:spacing w:before="0" w:after="120" w:line="276" w:lineRule="auto"/>
      </w:pPr>
      <w:r>
        <w:rPr>
          <w:rFonts w:ascii="Arial" w:hAnsi="Arial"/>
          <w:b/>
          <w:color w:val="262626"/>
          <w:sz w:val="21"/>
        </w:rPr>
        <w:t xml:space="preserve">1. Modal Optimization: </w:t>
      </w:r>
      <w:r>
        <w:rPr>
          <w:rFonts w:ascii="Arial" w:hAnsi="Arial"/>
          <w:color w:val="262626"/>
          <w:sz w:val="21"/>
        </w:rPr>
        <w:t xml:space="preserve"> For non-urgent shipments exceeding 1,000 KM, shift volume from Air Freight to Rail Express or Road Transport to achieve up to a 40% reduction in transport expenses.</w:t>
      </w:r>
    </w:p>
    <w:p>
      <w:pPr>
        <w:spacing w:before="0" w:after="120" w:line="276" w:lineRule="auto"/>
      </w:pPr>
      <w:r>
        <w:rPr>
          <w:rFonts w:ascii="Arial" w:hAnsi="Arial"/>
          <w:b/>
          <w:color w:val="262626"/>
          <w:sz w:val="21"/>
        </w:rPr>
        <w:t xml:space="preserve">2. Delay Mitigation: </w:t>
      </w:r>
      <w:r>
        <w:rPr>
          <w:rFonts w:ascii="Arial" w:hAnsi="Arial"/>
          <w:color w:val="262626"/>
          <w:sz w:val="21"/>
        </w:rPr>
        <w:t xml:space="preserve"> Implement automated IoT predictive tracking for long-distance routes to mitigate long-tail delivery delay outliers observed in the right-skewed distribution.</w:t>
      </w:r>
    </w:p>
    <w:p>
      <w:pPr>
        <w:spacing w:before="0" w:after="120" w:line="276" w:lineRule="auto"/>
      </w:pPr>
      <w:r>
        <w:rPr>
          <w:rFonts w:ascii="Arial" w:hAnsi="Arial"/>
          <w:b/>
          <w:color w:val="262626"/>
          <w:sz w:val="21"/>
        </w:rPr>
        <w:t xml:space="preserve">3. Dynamic Cost Thresholds: </w:t>
      </w:r>
      <w:r>
        <w:rPr>
          <w:rFonts w:ascii="Arial" w:hAnsi="Arial"/>
          <w:color w:val="262626"/>
          <w:sz w:val="21"/>
        </w:rPr>
        <w:t xml:space="preserve"> Transition from fixed pricing models to dynamic freight rates based on distance and volumetric thresholds.</w:t>
      </w:r>
    </w:p>
    <w:p>
      <w:pPr>
        <w:spacing w:before="0" w:after="120" w:line="276" w:lineRule="auto"/>
      </w:pPr>
      <w:r>
        <w:rPr>
          <w:rFonts w:ascii="Arial" w:hAnsi="Arial"/>
          <w:color w:val="262626"/>
          <w:sz w:val="21"/>
        </w:rPr>
        <w:t>In conclusion, conducting systematic EDA enables logistics stakeholders to make evidence-based decisions, optimize freight expenditure, and maintain high operational efficiency.</w:t>
      </w:r>
    </w:p>
    <w:p>
      <w:pPr>
        <w:keepNext/>
        <w:spacing w:before="320" w:after="120"/>
      </w:pPr>
      <w:r>
        <w:rPr>
          <w:rFonts w:ascii="Arial" w:hAnsi="Arial"/>
          <w:b/>
          <w:color w:val="1F4E78"/>
          <w:sz w:val="28"/>
        </w:rPr>
        <w:t>6. Comprehensive Report Description &amp; Overview</w:t>
      </w:r>
    </w:p>
    <w:p>
      <w:pPr>
        <w:spacing w:before="0" w:after="120" w:line="276" w:lineRule="auto"/>
      </w:pPr>
      <w:r>
        <w:rPr>
          <w:rFonts w:ascii="Arial" w:hAnsi="Arial"/>
          <w:color w:val="262626"/>
          <w:sz w:val="21"/>
        </w:rPr>
        <w:t>This comprehensive technical report presents an advanced Exploratory Data Analysis (EDA) and visual analytics framework tailored for logistics operational metrics. In modern supply chain management, organization success relies heavily on understanding complex data relationships—such as how transit distances, shipment volumes, transport modes, and delivery delays interact to drive overall operational expenditure. Without systematic data exploration, logistics providers risk cost inefficiencies, unmitigated transit delays, and improper fleet allocation across modal channels.</w:t>
      </w:r>
    </w:p>
    <w:p>
      <w:pPr>
        <w:spacing w:before="0" w:after="120" w:line="276" w:lineRule="auto"/>
      </w:pPr>
      <w:r>
        <w:rPr>
          <w:rFonts w:ascii="Arial" w:hAnsi="Arial"/>
          <w:color w:val="262626"/>
          <w:sz w:val="21"/>
        </w:rPr>
        <w:t>To address these operational challenges, this report models a multi-modal logistics dataset of 500 completed shipments across Air Freight, Road Transport, Sea Freight, and Rail Express. Using Python's analytical ecosystem—including Pandas, Matplotlib, and Seaborn—the report provides a multi-faceted analytical evaluation. Central tendencies and distributions are calculated to understand baseline operational performance, while data visualisations (such as KDE distribution plots, modal boxplots, bivariate scatter plots, and correlation heatmaps) expose key structural patterns. The findings highlight significant cost variations across transport modes, identify right-skewed delay distributions driven by rare bottleneck events, and demonstrate strong linear dependencies between distance and overall expenditure. This report serves as a actionable blueprint for data-driven supply chain optimization and strategic decision-making.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