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5" w:color="B18A4A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768"/>
        <w:gridCol w:w="3456"/>
      </w:tblGrid>
      <w:tr>
        <w:tc>
          <w:tcPr>
            <w:tcW w:type="dxa" w:w="6768"/>
            <w:tcMar>
              <w:top w:w="60" w:type="dxa"/>
              <w:start w:w="0" w:type="dxa"/>
              <w:bottom w:w="55" w:type="dxa"/>
              <w:end w:w="0" w:type="dxa"/>
            </w:tcMar>
            <w:vAlign w:val="center"/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071D2E"/>
                <w:sz w:val="50"/>
              </w:rPr>
              <w:t>NEHA KUMARI</w:t>
            </w:r>
          </w:p>
          <w:p>
            <w:pPr>
              <w:spacing w:after="0"/>
            </w:pPr>
            <w:r>
              <w:rPr>
                <w:b/>
                <w:color w:val="B18A4A"/>
                <w:sz w:val="18"/>
              </w:rPr>
              <w:t>SENIOR QA ENGINEER  |  TEST AUTOMATION  |  QUALITY LEADERSHIP</w:t>
            </w:r>
          </w:p>
        </w:tc>
        <w:tc>
          <w:tcPr>
            <w:tcW w:type="dxa" w:w="3456"/>
            <w:tcMar>
              <w:top w:w="60" w:type="dxa"/>
              <w:start w:w="0" w:type="dxa"/>
              <w:bottom w:w="55" w:type="dxa"/>
              <w:end w:w="0" w:type="dxa"/>
            </w:tcMar>
            <w:vAlign w:val="center"/>
          </w:tcPr>
          <w:p>
            <w:pPr>
              <w:spacing w:after="20"/>
              <w:jc w:val="right"/>
            </w:pPr>
            <w:r>
              <w:rPr>
                <w:color w:val="5F6A70"/>
                <w:sz w:val="16"/>
              </w:rPr>
              <w:t>Düsseldorf, Germany | German work permit</w:t>
            </w:r>
          </w:p>
          <w:p>
            <w:pPr>
              <w:spacing w:after="20"/>
              <w:jc w:val="right"/>
            </w:pPr>
            <w:r>
              <w:rPr>
                <w:color w:val="5F6A70"/>
                <w:sz w:val="16"/>
              </w:rPr>
              <w:t>+49 152 14071819 | nehakumari.de55@gmail.com</w:t>
            </w:r>
          </w:p>
          <w:p>
            <w:pPr>
              <w:spacing w:after="20"/>
              <w:jc w:val="right"/>
            </w:pPr>
            <w:r>
              <w:rPr>
                <w:color w:val="5F6A70"/>
                <w:sz w:val="16"/>
              </w:rPr>
              <w:t>nehakumari-55.github.io/BugWeaver/</w:t>
            </w:r>
          </w:p>
        </w:tc>
      </w:tr>
    </w:tbl>
    <w:p>
      <w:pPr>
        <w:pBdr>
          <w:bottom w:val="single" w:sz="18" w:space="5" w:color="071D2E"/>
        </w:pBdr>
        <w:spacing w:after="120"/>
      </w:pPr>
    </w:p>
    <w:p>
      <w:pPr>
        <w:pStyle w:val="Heading1"/>
        <w:keepNext/>
      </w:pPr>
      <w:r>
        <w:t>Profile</w:t>
      </w:r>
    </w:p>
    <w:p>
      <w:pPr>
        <w:spacing w:after="100"/>
      </w:pPr>
      <w:r>
        <w:rPr>
          <w:b/>
          <w:color w:val="071D2E"/>
        </w:rPr>
        <w:t xml:space="preserve">Quality engineer who turns complex releases into confident decisions. </w:t>
      </w:r>
      <w:r>
        <w:t>7+ years of experience across payment systems, transaction processing, financial market infrastructure, and data migration. Combines hands-on functional, integration, API, backend, regression, and UAT expertise with automation in Python, VBA, and Power Automate. Trusted to reconcile migration data, coordinate defect triage, and support evidence-based go-live approval.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27"/>
        <w:gridCol w:w="3427"/>
        <w:gridCol w:w="3427"/>
      </w:tblGrid>
      <w:tr>
        <w:tc>
          <w:tcPr>
            <w:tcW w:type="dxa" w:w="3384"/>
            <w:shd w:fill="F1EEE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71D2E"/>
                <w:sz w:val="34"/>
              </w:rPr>
              <w:t>60%</w:t>
            </w:r>
          </w:p>
          <w:p>
            <w:pPr>
              <w:spacing w:after="0"/>
              <w:jc w:val="center"/>
            </w:pPr>
            <w:r>
              <w:rPr>
                <w:b/>
                <w:color w:val="B18A4A"/>
                <w:sz w:val="14"/>
              </w:rPr>
              <w:t>MANUAL EFFORT REDUCED</w:t>
            </w:r>
          </w:p>
        </w:tc>
        <w:tc>
          <w:tcPr>
            <w:tcW w:type="dxa" w:w="3384"/>
            <w:shd w:fill="F1EEE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71D2E"/>
                <w:sz w:val="34"/>
              </w:rPr>
              <w:t>45%</w:t>
            </w:r>
          </w:p>
          <w:p>
            <w:pPr>
              <w:spacing w:after="0"/>
              <w:jc w:val="center"/>
            </w:pPr>
            <w:r>
              <w:rPr>
                <w:b/>
                <w:color w:val="B18A4A"/>
                <w:sz w:val="14"/>
              </w:rPr>
              <w:t>BETTER DEFECT DETECTION</w:t>
            </w:r>
          </w:p>
        </w:tc>
        <w:tc>
          <w:tcPr>
            <w:tcW w:type="dxa" w:w="3384"/>
            <w:shd w:fill="F1EEE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71D2E"/>
                <w:sz w:val="34"/>
              </w:rPr>
              <w:t>0</w:t>
            </w:r>
          </w:p>
          <w:p>
            <w:pPr>
              <w:spacing w:after="0"/>
              <w:jc w:val="center"/>
            </w:pPr>
            <w:r>
              <w:rPr>
                <w:b/>
                <w:color w:val="B18A4A"/>
                <w:sz w:val="14"/>
              </w:rPr>
              <w:t>HIGH-SEVERITY LEAKAGE</w:t>
            </w:r>
          </w:p>
        </w:tc>
      </w:tr>
    </w:tbl>
    <w:p>
      <w:pPr>
        <w:pStyle w:val="Heading1"/>
        <w:keepNext/>
      </w:pPr>
      <w:r>
        <w:t>Professional Experience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56"/>
        <w:gridCol w:w="2304"/>
      </w:tblGrid>
      <w:tr>
        <w:tc>
          <w:tcPr>
            <w:tcW w:type="dxa" w:w="7056"/>
            <w:tcMar>
              <w:top w:w="20" w:type="dxa"/>
              <w:start w:w="0" w:type="dxa"/>
              <w:bottom w:w="20" w:type="dxa"/>
              <w:end w:w="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071D2E"/>
                <w:sz w:val="22"/>
              </w:rPr>
              <w:t>Senior Quality Assurance Engineer</w:t>
            </w:r>
          </w:p>
          <w:p>
            <w:pPr>
              <w:spacing w:after="60"/>
            </w:pPr>
            <w:r>
              <w:rPr>
                <w:b/>
                <w:color w:val="B18A4A"/>
                <w:sz w:val="18"/>
              </w:rPr>
              <w:t>Nagarro Software Pvt. Ltd. | Noida, India</w:t>
            </w:r>
          </w:p>
        </w:tc>
        <w:tc>
          <w:tcPr>
            <w:tcW w:type="dxa" w:w="2304"/>
            <w:tcMar>
              <w:top w:w="20" w:type="dxa"/>
              <w:start w:w="0" w:type="dxa"/>
              <w:bottom w:w="20" w:type="dxa"/>
              <w:end w:w="0" w:type="dxa"/>
            </w:tcMar>
            <w:vAlign w:val="top"/>
          </w:tcPr>
          <w:p>
            <w:pPr>
              <w:jc w:val="right"/>
            </w:pPr>
            <w:r>
              <w:rPr>
                <w:color w:val="5F6A70"/>
                <w:sz w:val="17"/>
              </w:rPr>
              <w:t>Jul 2022 - Sep 2025</w:t>
            </w:r>
          </w:p>
        </w:tc>
      </w:tr>
    </w:tbl>
    <w:p>
      <w:pPr>
        <w:pStyle w:val="ListBullet"/>
        <w:spacing w:after="40" w:line="252" w:lineRule="auto"/>
      </w:pPr>
      <w:r>
        <w:rPr>
          <w:sz w:val="18"/>
        </w:rPr>
        <w:t>Owned end-to-end QA and risk-based execution across financial market infrastructure and transaction-processing platforms.</w:t>
      </w:r>
    </w:p>
    <w:p>
      <w:pPr>
        <w:pStyle w:val="ListBullet"/>
        <w:spacing w:after="40" w:line="252" w:lineRule="auto"/>
      </w:pPr>
      <w:r>
        <w:rPr>
          <w:sz w:val="18"/>
        </w:rPr>
        <w:t>Led functional, integration, regression, and UAT validation for payment-messaging systems, including ISO 20022 requirements.</w:t>
      </w:r>
    </w:p>
    <w:p>
      <w:pPr>
        <w:pStyle w:val="ListBullet"/>
        <w:spacing w:after="40" w:line="252" w:lineRule="auto"/>
      </w:pPr>
      <w:r>
        <w:rPr>
          <w:sz w:val="18"/>
        </w:rPr>
        <w:t>Protected migration and cutover readiness through pre/post-migration data reconciliation and backend verification using SQL and Python.</w:t>
      </w:r>
    </w:p>
    <w:p>
      <w:pPr>
        <w:pStyle w:val="ListBullet"/>
        <w:spacing w:after="40" w:line="252" w:lineRule="auto"/>
      </w:pPr>
      <w:r>
        <w:rPr>
          <w:sz w:val="18"/>
        </w:rPr>
        <w:t>Built Python, VBA, and Power Automate utilities that reduced manual execution effort by 60% and automated test-evidence compilation.</w:t>
      </w:r>
    </w:p>
    <w:p>
      <w:pPr>
        <w:pStyle w:val="ListBullet"/>
        <w:spacing w:after="40" w:line="252" w:lineRule="auto"/>
      </w:pPr>
      <w:r>
        <w:rPr>
          <w:sz w:val="18"/>
        </w:rPr>
        <w:t>Improved defect-detection efficiency by 45% by strengthening QA coverage, traceability, and risk-focused execution.</w:t>
      </w:r>
    </w:p>
    <w:p>
      <w:pPr>
        <w:pStyle w:val="ListBullet"/>
        <w:spacing w:after="40" w:line="252" w:lineRule="auto"/>
      </w:pPr>
      <w:r>
        <w:rPr>
          <w:sz w:val="18"/>
        </w:rPr>
        <w:t>Coordinated defect triage with business representatives, developers, and external providers; supported evidence-based go-live approval.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56"/>
        <w:gridCol w:w="2304"/>
      </w:tblGrid>
      <w:tr>
        <w:tc>
          <w:tcPr>
            <w:tcW w:type="dxa" w:w="7056"/>
            <w:tcMar>
              <w:top w:w="20" w:type="dxa"/>
              <w:start w:w="0" w:type="dxa"/>
              <w:bottom w:w="20" w:type="dxa"/>
              <w:end w:w="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071D2E"/>
                <w:sz w:val="22"/>
              </w:rPr>
              <w:t>Technical Analyst - QA</w:t>
            </w:r>
          </w:p>
          <w:p>
            <w:pPr>
              <w:spacing w:after="60"/>
            </w:pPr>
            <w:r>
              <w:rPr>
                <w:b/>
                <w:color w:val="B18A4A"/>
                <w:sz w:val="18"/>
              </w:rPr>
              <w:t>Cognizant Technology Solutions Pvt. Ltd. | Noida, India</w:t>
            </w:r>
          </w:p>
        </w:tc>
        <w:tc>
          <w:tcPr>
            <w:tcW w:type="dxa" w:w="2304"/>
            <w:tcMar>
              <w:top w:w="20" w:type="dxa"/>
              <w:start w:w="0" w:type="dxa"/>
              <w:bottom w:w="20" w:type="dxa"/>
              <w:end w:w="0" w:type="dxa"/>
            </w:tcMar>
            <w:vAlign w:val="top"/>
          </w:tcPr>
          <w:p>
            <w:pPr>
              <w:jc w:val="right"/>
            </w:pPr>
            <w:r>
              <w:rPr>
                <w:color w:val="5F6A70"/>
                <w:sz w:val="17"/>
              </w:rPr>
              <w:t>May 2021 - Jun 2022</w:t>
            </w:r>
          </w:p>
        </w:tc>
      </w:tr>
    </w:tbl>
    <w:p>
      <w:pPr>
        <w:pStyle w:val="ListBullet"/>
        <w:spacing w:after="40" w:line="252" w:lineRule="auto"/>
      </w:pPr>
      <w:r>
        <w:rPr>
          <w:sz w:val="18"/>
        </w:rPr>
        <w:t>Delivered quality engineering, integration testing, and API verification for enterprise payment gateways and transaction engines.</w:t>
      </w:r>
    </w:p>
    <w:p>
      <w:pPr>
        <w:pStyle w:val="ListBullet"/>
        <w:spacing w:after="40" w:line="252" w:lineRule="auto"/>
      </w:pPr>
      <w:r>
        <w:rPr>
          <w:sz w:val="18"/>
        </w:rPr>
        <w:t>Validated new features against functional requirements, contributing to zero high-severity defect leakage.</w:t>
      </w:r>
    </w:p>
    <w:p>
      <w:pPr>
        <w:pStyle w:val="ListBullet"/>
        <w:spacing w:after="40" w:line="252" w:lineRule="auto"/>
      </w:pPr>
      <w:r>
        <w:rPr>
          <w:sz w:val="18"/>
        </w:rPr>
        <w:t>Tested REST APIs with Postman and verified transaction updates in Oracle, PostgreSQL, and MS SQL databases.</w:t>
      </w:r>
    </w:p>
    <w:p>
      <w:pPr>
        <w:pStyle w:val="ListBullet"/>
        <w:spacing w:after="40" w:line="252" w:lineRule="auto"/>
      </w:pPr>
      <w:r>
        <w:rPr>
          <w:sz w:val="18"/>
        </w:rPr>
        <w:t>Automated metric reporting and change-request documentation with lightweight VBA and Python utilities.</w:t>
      </w:r>
    </w:p>
    <w:p>
      <w:pPr>
        <w:pStyle w:val="ListBullet"/>
        <w:spacing w:after="40" w:line="252" w:lineRule="auto"/>
      </w:pPr>
      <w:r>
        <w:rPr>
          <w:sz w:val="18"/>
        </w:rPr>
        <w:t>Worked across Agile teams with business partners, suppliers, and service providers to support UAT.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56"/>
        <w:gridCol w:w="2304"/>
      </w:tblGrid>
      <w:tr>
        <w:tc>
          <w:tcPr>
            <w:tcW w:type="dxa" w:w="7056"/>
            <w:tcMar>
              <w:top w:w="20" w:type="dxa"/>
              <w:start w:w="0" w:type="dxa"/>
              <w:bottom w:w="20" w:type="dxa"/>
              <w:end w:w="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071D2E"/>
                <w:sz w:val="22"/>
              </w:rPr>
              <w:t>Software Engineer - QA Analyst</w:t>
            </w:r>
          </w:p>
          <w:p>
            <w:pPr>
              <w:spacing w:after="60"/>
            </w:pPr>
            <w:r>
              <w:rPr>
                <w:b/>
                <w:color w:val="B18A4A"/>
                <w:sz w:val="18"/>
              </w:rPr>
              <w:t>Infosys Pvt. Ltd. | Hyderabad, India</w:t>
            </w:r>
          </w:p>
        </w:tc>
        <w:tc>
          <w:tcPr>
            <w:tcW w:type="dxa" w:w="2304"/>
            <w:tcMar>
              <w:top w:w="20" w:type="dxa"/>
              <w:start w:w="0" w:type="dxa"/>
              <w:bottom w:w="20" w:type="dxa"/>
              <w:end w:w="0" w:type="dxa"/>
            </w:tcMar>
            <w:vAlign w:val="top"/>
          </w:tcPr>
          <w:p>
            <w:pPr>
              <w:jc w:val="right"/>
            </w:pPr>
            <w:r>
              <w:rPr>
                <w:color w:val="5F6A70"/>
                <w:sz w:val="17"/>
              </w:rPr>
              <w:t>Apr 2018 - Apr 2021</w:t>
            </w:r>
          </w:p>
        </w:tc>
      </w:tr>
    </w:tbl>
    <w:p>
      <w:pPr>
        <w:pStyle w:val="ListBullet"/>
        <w:spacing w:after="40" w:line="252" w:lineRule="auto"/>
      </w:pPr>
      <w:r>
        <w:rPr>
          <w:sz w:val="18"/>
        </w:rPr>
        <w:t>Executed functional, integration, and backend testing across data-driven financial software systems.</w:t>
      </w:r>
    </w:p>
    <w:p>
      <w:pPr>
        <w:pStyle w:val="ListBullet"/>
        <w:spacing w:after="40" w:line="252" w:lineRule="auto"/>
      </w:pPr>
      <w:r>
        <w:rPr>
          <w:sz w:val="18"/>
        </w:rPr>
        <w:t>Designed and maintained test plans, cases, execution evidence, and defect records in HP ALM and TestRail.</w:t>
      </w:r>
    </w:p>
    <w:p>
      <w:pPr>
        <w:pStyle w:val="ListBullet"/>
        <w:spacing w:after="40" w:line="252" w:lineRule="auto"/>
      </w:pPr>
      <w:r>
        <w:rPr>
          <w:sz w:val="18"/>
        </w:rPr>
        <w:t>Performed SQL-based data reconciliation to verify consistency and business-rule compliance.</w:t>
      </w:r>
    </w:p>
    <w:p>
      <w:r>
        <w:br w:type="page"/>
      </w:r>
    </w:p>
    <w:p>
      <w:pPr>
        <w:pStyle w:val="Heading1"/>
        <w:keepNext/>
      </w:pPr>
      <w:r>
        <w:t>Core Expertise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41"/>
        <w:gridCol w:w="5141"/>
      </w:tblGrid>
      <w:tr>
        <w:tc>
          <w:tcPr>
            <w:tcW w:type="dxa" w:w="2088"/>
            <w:tcMar>
              <w:top w:w="45" w:type="dxa"/>
              <w:start w:w="55" w:type="dxa"/>
              <w:bottom w:w="45" w:type="dxa"/>
              <w:end w:w="55" w:type="dxa"/>
            </w:tcMar>
            <w:shd w:fill="071D2E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QUALITY LEADERSHIP</w:t>
            </w:r>
          </w:p>
        </w:tc>
        <w:tc>
          <w:tcPr>
            <w:tcW w:type="dxa" w:w="8136"/>
            <w:tcMar>
              <w:top w:w="45" w:type="dxa"/>
              <w:start w:w="55" w:type="dxa"/>
              <w:bottom w:w="45" w:type="dxa"/>
              <w:end w:w="55" w:type="dxa"/>
            </w:tcMar>
            <w:shd w:fill="F1EEE7"/>
          </w:tcPr>
          <w:p>
            <w:pPr>
              <w:spacing w:after="0"/>
            </w:pPr>
            <w:r>
              <w:rPr>
                <w:color w:val="1D2931"/>
                <w:sz w:val="17"/>
              </w:rPr>
              <w:t>Risk-based testing | Release readiness | Defect triage | UAT | Audit evidence</w:t>
            </w:r>
          </w:p>
        </w:tc>
      </w:tr>
      <w:tr>
        <w:tc>
          <w:tcPr>
            <w:tcW w:type="dxa" w:w="2088"/>
            <w:tcMar>
              <w:top w:w="45" w:type="dxa"/>
              <w:start w:w="55" w:type="dxa"/>
              <w:bottom w:w="45" w:type="dxa"/>
              <w:end w:w="55" w:type="dxa"/>
            </w:tcMar>
            <w:shd w:fill="071D2E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AUTOMATION &amp; APIS</w:t>
            </w:r>
          </w:p>
        </w:tc>
        <w:tc>
          <w:tcPr>
            <w:tcW w:type="dxa" w:w="8136"/>
            <w:tcMar>
              <w:top w:w="45" w:type="dxa"/>
              <w:start w:w="55" w:type="dxa"/>
              <w:bottom w:w="45" w:type="dxa"/>
              <w:end w:w="55" w:type="dxa"/>
            </w:tcMar>
            <w:shd w:fill="F1EEE7"/>
          </w:tcPr>
          <w:p>
            <w:pPr>
              <w:spacing w:after="0"/>
            </w:pPr>
            <w:r>
              <w:rPr>
                <w:color w:val="1D2931"/>
                <w:sz w:val="17"/>
              </w:rPr>
              <w:t>Python | Playwright | Selenium | Java | VBA | Power Automate | Postman</w:t>
            </w:r>
          </w:p>
        </w:tc>
      </w:tr>
      <w:tr>
        <w:tc>
          <w:tcPr>
            <w:tcW w:type="dxa" w:w="2088"/>
            <w:tcMar>
              <w:top w:w="45" w:type="dxa"/>
              <w:start w:w="55" w:type="dxa"/>
              <w:bottom w:w="45" w:type="dxa"/>
              <w:end w:w="55" w:type="dxa"/>
            </w:tcMar>
            <w:shd w:fill="071D2E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DATA &amp; PLATFORMS</w:t>
            </w:r>
          </w:p>
        </w:tc>
        <w:tc>
          <w:tcPr>
            <w:tcW w:type="dxa" w:w="8136"/>
            <w:tcMar>
              <w:top w:w="45" w:type="dxa"/>
              <w:start w:w="55" w:type="dxa"/>
              <w:bottom w:w="45" w:type="dxa"/>
              <w:end w:w="55" w:type="dxa"/>
            </w:tcMar>
            <w:shd w:fill="F1EEE7"/>
          </w:tcPr>
          <w:p>
            <w:pPr>
              <w:spacing w:after="0"/>
            </w:pPr>
            <w:r>
              <w:rPr>
                <w:color w:val="1D2931"/>
                <w:sz w:val="17"/>
              </w:rPr>
              <w:t>SQL | Oracle PL/SQL | PostgreSQL | MS SQL | Snowflake | Power BI</w:t>
            </w:r>
          </w:p>
        </w:tc>
      </w:tr>
      <w:tr>
        <w:tc>
          <w:tcPr>
            <w:tcW w:type="dxa" w:w="2088"/>
            <w:tcMar>
              <w:top w:w="45" w:type="dxa"/>
              <w:start w:w="55" w:type="dxa"/>
              <w:bottom w:w="45" w:type="dxa"/>
              <w:end w:w="55" w:type="dxa"/>
            </w:tcMar>
            <w:shd w:fill="071D2E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PAYMENTS DOMAIN</w:t>
            </w:r>
          </w:p>
        </w:tc>
        <w:tc>
          <w:tcPr>
            <w:tcW w:type="dxa" w:w="8136"/>
            <w:tcMar>
              <w:top w:w="45" w:type="dxa"/>
              <w:start w:w="55" w:type="dxa"/>
              <w:bottom w:w="45" w:type="dxa"/>
              <w:end w:w="55" w:type="dxa"/>
            </w:tcMar>
            <w:shd w:fill="F1EEE7"/>
          </w:tcPr>
          <w:p>
            <w:pPr>
              <w:spacing w:after="0"/>
            </w:pPr>
            <w:r>
              <w:rPr>
                <w:color w:val="1D2931"/>
                <w:sz w:val="17"/>
              </w:rPr>
              <w:t>Payment systems | Transaction processing | SEPA | Target2/T2S | ISO 20022 | Banking</w:t>
            </w:r>
          </w:p>
        </w:tc>
      </w:tr>
      <w:tr>
        <w:tc>
          <w:tcPr>
            <w:tcW w:type="dxa" w:w="2088"/>
            <w:tcMar>
              <w:top w:w="45" w:type="dxa"/>
              <w:start w:w="55" w:type="dxa"/>
              <w:bottom w:w="45" w:type="dxa"/>
              <w:end w:w="55" w:type="dxa"/>
            </w:tcMar>
            <w:shd w:fill="071D2E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DELIVERY TOOLS</w:t>
            </w:r>
          </w:p>
        </w:tc>
        <w:tc>
          <w:tcPr>
            <w:tcW w:type="dxa" w:w="8136"/>
            <w:tcMar>
              <w:top w:w="45" w:type="dxa"/>
              <w:start w:w="55" w:type="dxa"/>
              <w:bottom w:w="45" w:type="dxa"/>
              <w:end w:w="55" w:type="dxa"/>
            </w:tcMar>
            <w:shd w:fill="F1EEE7"/>
          </w:tcPr>
          <w:p>
            <w:pPr>
              <w:spacing w:after="0"/>
            </w:pPr>
            <w:r>
              <w:rPr>
                <w:color w:val="1D2931"/>
                <w:sz w:val="17"/>
              </w:rPr>
              <w:t>JIRA | TestRail | HP ALM | Agile/Scrum | Functional specifications | Change management</w:t>
            </w:r>
          </w:p>
        </w:tc>
      </w:tr>
    </w:tbl>
    <w:p>
      <w:pPr>
        <w:pStyle w:val="Heading1"/>
        <w:keepNext/>
      </w:pPr>
      <w:r>
        <w:t>Flagship Project | Critical Payment-System Migration</w:t>
      </w:r>
    </w:p>
    <w:p>
      <w:pPr>
        <w:spacing w:after="100"/>
      </w:pPr>
      <w:r>
        <w:rPr>
          <w:b/>
          <w:color w:val="071D2E"/>
        </w:rPr>
        <w:t xml:space="preserve">Context: </w:t>
      </w:r>
      <w:r>
        <w:t>Supported a high-stakes migration within a financial market infrastructure environment. Client and project identifiers are intentionally anonymized.</w:t>
      </w:r>
    </w:p>
    <w:p>
      <w:pPr>
        <w:pStyle w:val="ListBullet"/>
        <w:spacing w:after="40" w:line="252" w:lineRule="auto"/>
      </w:pPr>
      <w:r>
        <w:rPr>
          <w:sz w:val="18"/>
        </w:rPr>
        <w:t>Reconciled pre- and post-migration records with SQL and Python to identify material data inconsistencies before go-live.</w:t>
      </w:r>
    </w:p>
    <w:p>
      <w:pPr>
        <w:pStyle w:val="ListBullet"/>
        <w:spacing w:after="40" w:line="252" w:lineRule="auto"/>
      </w:pPr>
      <w:r>
        <w:rPr>
          <w:sz w:val="18"/>
        </w:rPr>
        <w:t>Led evidence-driven defect triage across business representatives, developers, and external service providers, ensuring clear ownership and resolution paths.</w:t>
      </w:r>
    </w:p>
    <w:p>
      <w:pPr>
        <w:pStyle w:val="ListBullet"/>
        <w:spacing w:after="40" w:line="252" w:lineRule="auto"/>
      </w:pPr>
      <w:r>
        <w:rPr>
          <w:sz w:val="18"/>
        </w:rPr>
        <w:t>Supported go-live readiness and final approval by making unresolved risks visible, traceable, and understandable to decision-makers.</w:t>
      </w:r>
    </w:p>
    <w:p>
      <w:pPr>
        <w:pStyle w:val="ListBullet"/>
        <w:spacing w:after="40" w:line="252" w:lineRule="auto"/>
      </w:pPr>
      <w:r>
        <w:rPr>
          <w:sz w:val="18"/>
        </w:rPr>
        <w:t>Helped prevent a serious defect from reaching production through disciplined backend validation, stakeholder coordination, and release gating.</w:t>
      </w:r>
    </w:p>
    <w:p>
      <w:pPr>
        <w:pStyle w:val="Heading1"/>
        <w:keepNext/>
      </w:pPr>
      <w:r>
        <w:t>Leadership Approach</w:t>
      </w:r>
    </w:p>
    <w:p>
      <w:pPr>
        <w:spacing w:after="80"/>
      </w:pPr>
      <w:r>
        <w:rPr>
          <w:b/>
        </w:rPr>
        <w:t xml:space="preserve">Connect the defect to the decision. </w:t>
      </w:r>
      <w:r>
        <w:t>I translate technical evidence into clear release risk, align cross-functional teams around what must happen next, and improve repeatability through pragmatic automation rather than automation for its own sake.</w:t>
      </w:r>
    </w:p>
    <w:p>
      <w:pPr>
        <w:pStyle w:val="Heading1"/>
        <w:keepNext/>
      </w:pPr>
      <w:r>
        <w:t>Education &amp; Languages</w:t>
      </w:r>
    </w:p>
    <w:p>
      <w:pPr>
        <w:spacing w:after="40"/>
      </w:pPr>
      <w:r>
        <w:rPr>
          <w:b/>
          <w:color w:val="071D2E"/>
        </w:rPr>
        <w:t>Bachelor of Technology, Computer Science and Engineering</w:t>
      </w:r>
      <w:r>
        <w:t xml:space="preserve"> | Meerut Institute of Engineering and Technology (MIET), India | 2012-2016</w:t>
      </w:r>
    </w:p>
    <w:p>
      <w:pPr>
        <w:spacing w:after="40"/>
      </w:pPr>
      <w:r>
        <w:rPr>
          <w:b/>
        </w:rPr>
        <w:t xml:space="preserve">Languages: </w:t>
      </w:r>
      <w:r>
        <w:t>English (C2) | German (A2)</w:t>
      </w:r>
    </w:p>
    <w:p>
      <w:pPr>
        <w:spacing w:after="0"/>
      </w:pPr>
      <w:r>
        <w:rPr>
          <w:b/>
        </w:rPr>
        <w:t xml:space="preserve">Current status: </w:t>
      </w:r>
      <w:r>
        <w:t>Relocated to Düsseldorf and actively pursuing Senior QA, Test Automation, and QA Lead opportunities.</w:t>
      </w:r>
    </w:p>
    <w:sectPr w:rsidR="00FC693F" w:rsidRPr="0006063C" w:rsidSect="00034616">
      <w:footerReference w:type="default" r:id="rId9"/>
      <w:pgSz w:w="12240" w:h="15840"/>
      <w:pgMar w:top="792" w:right="979" w:bottom="749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A70"/>
        <w:sz w:val="15"/>
      </w:rPr>
      <w:t>NEHA KUMARI  |  QUALITY ENGINEERING  |  DÜSSELDORF, GERMANY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Aptos" w:hAnsi="Aptos"/>
      <w:color w:val="1D293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  <w:pBdr>
        <w:bottom w:val="single" w:sz="8" w:space="4" w:color="B18A4A"/>
      </w:pBdr>
    </w:pPr>
    <w:rPr>
      <w:rFonts w:asciiTheme="majorHAnsi" w:eastAsiaTheme="majorEastAsia" w:hAnsiTheme="majorHAnsi" w:cstheme="majorBidi" w:ascii="Aptos Display" w:hAnsi="Aptos Display"/>
      <w:b/>
      <w:bCs/>
      <w:caps/>
      <w:color w:val="071D2E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88" w:hanging="202"/>
      <w:contextualSpacing/>
    </w:pPr>
    <w:rPr>
      <w:rFonts w:ascii="Aptos" w:hAnsi="Aptos"/>
      <w:color w:val="1D2931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Neha Kumari - Senior QA Engineer CV</dc:title>
  <dc:subject>Senior QA, Test Automation, and Quality Leadership</dc:subject>
  <dc:creator>Neha Kumari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