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sz w:val="34"/>
          <w:szCs w:val="34"/>
        </w:rPr>
      </w:pPr>
      <w:bookmarkStart w:colFirst="0" w:colLast="0" w:name="_vnf8fjuzleyn" w:id="0"/>
      <w:bookmarkEnd w:id="0"/>
      <w:r w:rsidDel="00000000" w:rsidR="00000000" w:rsidRPr="00000000">
        <w:rPr>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Hospital readmission within 30 days is widely used as a quality-of-care indicator in U.S. healthcare systems, as it is associated with increased cost, care fragmentation, and clinical risk for patients with chronic illnesses such as diabetes 1 and 2. Predictive modeling is frequently used to identify high-risk patients who may benefit from post-discharge follow-up or care coordination interventions. However, prior literature has shown that readmission risk prediction is a </w:t>
      </w:r>
      <w:r w:rsidDel="00000000" w:rsidR="00000000" w:rsidRPr="00000000">
        <w:rPr>
          <w:i w:val="1"/>
          <w:rtl w:val="0"/>
        </w:rPr>
        <w:t xml:space="preserve">structurally difficult problem</w:t>
      </w:r>
      <w:r w:rsidDel="00000000" w:rsidR="00000000" w:rsidRPr="00000000">
        <w:rPr>
          <w:rtl w:val="0"/>
        </w:rPr>
        <w:t xml:space="preserve">: clinical variables alone explain only part of the variance, while social determinants of health, access to care, and treatment adherence also play central roles.</w:t>
      </w:r>
    </w:p>
    <w:p w:rsidR="00000000" w:rsidDel="00000000" w:rsidP="00000000" w:rsidRDefault="00000000" w:rsidRPr="00000000" w14:paraId="00000003">
      <w:pPr>
        <w:spacing w:after="240" w:before="240" w:lineRule="auto"/>
        <w:rPr/>
      </w:pPr>
      <w:r w:rsidDel="00000000" w:rsidR="00000000" w:rsidRPr="00000000">
        <w:rPr>
          <w:rtl w:val="0"/>
        </w:rPr>
        <w:t xml:space="preserve">In addition, the use of predictive models in clinical settings raises critical equity concerns. If models learn patterns from historically inequitable healthcare delivery, they may propagate or amplify disparate risk labeling across racial or demographic groups 444. Therefore, evaluating both </w:t>
      </w:r>
      <w:r w:rsidDel="00000000" w:rsidR="00000000" w:rsidRPr="00000000">
        <w:rPr>
          <w:i w:val="1"/>
          <w:rtl w:val="0"/>
        </w:rPr>
        <w:t xml:space="preserve">predictive performance</w:t>
      </w:r>
      <w:r w:rsidDel="00000000" w:rsidR="00000000" w:rsidRPr="00000000">
        <w:rPr>
          <w:rtl w:val="0"/>
        </w:rPr>
        <w:t xml:space="preserve"> and </w:t>
      </w:r>
      <w:r w:rsidDel="00000000" w:rsidR="00000000" w:rsidRPr="00000000">
        <w:rPr>
          <w:i w:val="1"/>
          <w:rtl w:val="0"/>
        </w:rPr>
        <w:t xml:space="preserve">fairness across patient subgroups</w:t>
      </w:r>
      <w:r w:rsidDel="00000000" w:rsidR="00000000" w:rsidRPr="00000000">
        <w:rPr>
          <w:rtl w:val="0"/>
        </w:rPr>
        <w:t xml:space="preserve"> is necessary for ethical model deployment in healthcare.</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revisits the </w:t>
      </w:r>
      <w:r w:rsidDel="00000000" w:rsidR="00000000" w:rsidRPr="00000000">
        <w:rPr>
          <w:b w:val="1"/>
          <w:rtl w:val="0"/>
        </w:rPr>
        <w:t xml:space="preserve">Diabetes 130-US Hospitals dataset</w:t>
      </w:r>
      <w:r w:rsidDel="00000000" w:rsidR="00000000" w:rsidRPr="00000000">
        <w:rPr>
          <w:rtl w:val="0"/>
        </w:rPr>
        <w:t xml:space="preserve"> and re-examines the 30-day readmission prediction problem using four model classes: Logistic Regression, Random Forest, Gradient Boosted Trees (XGBoost), and a Neural Network. Unlike earlier analyses of this dataset, this project emphasizes (1) careful handling of class imbalance, (2) clinically interpretable feature engineering through diagnosis code grouping, and (3) systematic fairness evaluation across racial groups.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rPr>
          <w:sz w:val="34"/>
          <w:szCs w:val="34"/>
        </w:rPr>
      </w:pPr>
      <w:bookmarkStart w:colFirst="0" w:colLast="0" w:name="_z21oqa58dmwp" w:id="1"/>
      <w:bookmarkEnd w:id="1"/>
      <w:r w:rsidDel="00000000" w:rsidR="00000000" w:rsidRPr="00000000">
        <w:rPr>
          <w:sz w:val="34"/>
          <w:szCs w:val="34"/>
          <w:rtl w:val="0"/>
        </w:rPr>
        <w:t xml:space="preserve">2. Methods</w:t>
      </w:r>
    </w:p>
    <w:p w:rsidR="00000000" w:rsidDel="00000000" w:rsidP="00000000" w:rsidRDefault="00000000" w:rsidRPr="00000000" w14:paraId="00000007">
      <w:pPr>
        <w:pStyle w:val="Heading3"/>
        <w:keepNext w:val="0"/>
        <w:keepLines w:val="0"/>
        <w:rPr>
          <w:color w:val="000000"/>
          <w:sz w:val="26"/>
          <w:szCs w:val="26"/>
        </w:rPr>
      </w:pPr>
      <w:bookmarkStart w:colFirst="0" w:colLast="0" w:name="_xf7r8cf6rslj" w:id="2"/>
      <w:bookmarkEnd w:id="2"/>
      <w:r w:rsidDel="00000000" w:rsidR="00000000" w:rsidRPr="00000000">
        <w:rPr>
          <w:color w:val="000000"/>
          <w:sz w:val="26"/>
          <w:szCs w:val="26"/>
          <w:rtl w:val="0"/>
        </w:rPr>
        <w:t xml:space="preserve">2.1 Dataset and Outcome Definition</w:t>
      </w:r>
    </w:p>
    <w:p w:rsidR="00000000" w:rsidDel="00000000" w:rsidP="00000000" w:rsidRDefault="00000000" w:rsidRPr="00000000" w14:paraId="00000008">
      <w:pPr>
        <w:spacing w:after="240" w:before="240" w:lineRule="auto"/>
        <w:rPr/>
      </w:pPr>
      <w:r w:rsidDel="00000000" w:rsidR="00000000" w:rsidRPr="00000000">
        <w:rPr>
          <w:rtl w:val="0"/>
        </w:rPr>
        <w:t xml:space="preserve">Data were drawn from the UCI “Diabetes 130-US hospitals” dataset 555, consisting of 10 years of inpatient encounters. The outcome of interest was whether the patient was readmitted within 30 days (</w:t>
      </w:r>
      <w:r w:rsidDel="00000000" w:rsidR="00000000" w:rsidRPr="00000000">
        <w:rPr>
          <w:rFonts w:ascii="Roboto Mono" w:cs="Roboto Mono" w:eastAsia="Roboto Mono" w:hAnsi="Roboto Mono"/>
          <w:color w:val="188038"/>
          <w:rtl w:val="0"/>
        </w:rPr>
        <w:t xml:space="preserve">readmitted == '&lt;30'</w:t>
      </w:r>
      <w:r w:rsidDel="00000000" w:rsidR="00000000" w:rsidRPr="00000000">
        <w:rPr>
          <w:rtl w:val="0"/>
        </w:rPr>
        <w:t xml:space="preserve">), encoded as a binary variable.</w:t>
      </w:r>
    </w:p>
    <w:p w:rsidR="00000000" w:rsidDel="00000000" w:rsidP="00000000" w:rsidRDefault="00000000" w:rsidRPr="00000000" w14:paraId="00000009">
      <w:pPr>
        <w:pStyle w:val="Heading3"/>
        <w:keepNext w:val="0"/>
        <w:keepLines w:val="0"/>
        <w:rPr>
          <w:color w:val="000000"/>
          <w:sz w:val="26"/>
          <w:szCs w:val="26"/>
        </w:rPr>
      </w:pPr>
      <w:bookmarkStart w:colFirst="0" w:colLast="0" w:name="_5fikgfgbd27z" w:id="3"/>
      <w:bookmarkEnd w:id="3"/>
      <w:r w:rsidDel="00000000" w:rsidR="00000000" w:rsidRPr="00000000">
        <w:rPr>
          <w:color w:val="000000"/>
          <w:sz w:val="26"/>
          <w:szCs w:val="26"/>
          <w:rtl w:val="0"/>
        </w:rPr>
        <w:t xml:space="preserve">2.2 Data Cleaning</w:t>
      </w:r>
    </w:p>
    <w:p w:rsidR="00000000" w:rsidDel="00000000" w:rsidP="00000000" w:rsidRDefault="00000000" w:rsidRPr="00000000" w14:paraId="0000000A">
      <w:pPr>
        <w:spacing w:after="240" w:before="240" w:lineRule="auto"/>
        <w:rPr/>
      </w:pPr>
      <w:r w:rsidDel="00000000" w:rsidR="00000000" w:rsidRPr="00000000">
        <w:rPr>
          <w:rtl w:val="0"/>
        </w:rPr>
        <w:t xml:space="preserve">Records containing placeholder values (“?”) were converted to missing values. Encounters with </w:t>
      </w:r>
      <w:r w:rsidDel="00000000" w:rsidR="00000000" w:rsidRPr="00000000">
        <w:rPr>
          <w:rFonts w:ascii="Roboto Mono" w:cs="Roboto Mono" w:eastAsia="Roboto Mono" w:hAnsi="Roboto Mono"/>
          <w:color w:val="188038"/>
          <w:rtl w:val="0"/>
        </w:rPr>
        <w:t xml:space="preserve">Unknown/Invalid</w:t>
      </w:r>
      <w:r w:rsidDel="00000000" w:rsidR="00000000" w:rsidRPr="00000000">
        <w:rPr>
          <w:rtl w:val="0"/>
        </w:rPr>
        <w:t xml:space="preserve"> genders were removed. Non-informative encounter identifiers were dropped. Rows with missing values in selected modeling features were removed.</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rPr>
          <w:color w:val="000000"/>
          <w:sz w:val="26"/>
          <w:szCs w:val="26"/>
        </w:rPr>
      </w:pPr>
      <w:bookmarkStart w:colFirst="0" w:colLast="0" w:name="_5jj8hscftfez" w:id="4"/>
      <w:bookmarkEnd w:id="4"/>
      <w:r w:rsidDel="00000000" w:rsidR="00000000" w:rsidRPr="00000000">
        <w:rPr>
          <w:color w:val="000000"/>
          <w:sz w:val="26"/>
          <w:szCs w:val="26"/>
          <w:rtl w:val="0"/>
        </w:rPr>
        <w:t xml:space="preserve">2.3 Feature Engineering</w:t>
      </w:r>
    </w:p>
    <w:p w:rsidR="00000000" w:rsidDel="00000000" w:rsidP="00000000" w:rsidRDefault="00000000" w:rsidRPr="00000000" w14:paraId="0000000E">
      <w:pPr>
        <w:spacing w:after="240" w:before="240" w:lineRule="auto"/>
        <w:rPr/>
      </w:pPr>
      <w:r w:rsidDel="00000000" w:rsidR="00000000" w:rsidRPr="00000000">
        <w:rPr>
          <w:rtl w:val="0"/>
        </w:rPr>
        <w:t xml:space="preserve">Diagnosis fields (</w:t>
      </w:r>
      <w:r w:rsidDel="00000000" w:rsidR="00000000" w:rsidRPr="00000000">
        <w:rPr>
          <w:rFonts w:ascii="Roboto Mono" w:cs="Roboto Mono" w:eastAsia="Roboto Mono" w:hAnsi="Roboto Mono"/>
          <w:color w:val="188038"/>
          <w:rtl w:val="0"/>
        </w:rPr>
        <w:t xml:space="preserve">diag_1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diag_3</w:t>
      </w:r>
      <w:r w:rsidDel="00000000" w:rsidR="00000000" w:rsidRPr="00000000">
        <w:rPr>
          <w:rtl w:val="0"/>
        </w:rPr>
        <w:t xml:space="preserve">) contain ICD-9 codes. To reduce sparsity and improve clinical interpretability, these codes were grouped into standardized condition categories (e.g., </w:t>
      </w:r>
      <w:r w:rsidDel="00000000" w:rsidR="00000000" w:rsidRPr="00000000">
        <w:rPr>
          <w:i w:val="1"/>
          <w:rtl w:val="0"/>
        </w:rPr>
        <w:t xml:space="preserve">Circulatory</w:t>
      </w:r>
      <w:r w:rsidDel="00000000" w:rsidR="00000000" w:rsidRPr="00000000">
        <w:rPr>
          <w:rtl w:val="0"/>
        </w:rPr>
        <w:t xml:space="preserve">, </w:t>
      </w:r>
      <w:r w:rsidDel="00000000" w:rsidR="00000000" w:rsidRPr="00000000">
        <w:rPr>
          <w:i w:val="1"/>
          <w:rtl w:val="0"/>
        </w:rPr>
        <w:t xml:space="preserve">Respiratory</w:t>
      </w:r>
      <w:r w:rsidDel="00000000" w:rsidR="00000000" w:rsidRPr="00000000">
        <w:rPr>
          <w:rtl w:val="0"/>
        </w:rPr>
        <w:t xml:space="preserve">, </w:t>
      </w:r>
      <w:r w:rsidDel="00000000" w:rsidR="00000000" w:rsidRPr="00000000">
        <w:rPr>
          <w:i w:val="1"/>
          <w:rtl w:val="0"/>
        </w:rPr>
        <w:t xml:space="preserve">Digestive</w:t>
      </w:r>
      <w:r w:rsidDel="00000000" w:rsidR="00000000" w:rsidRPr="00000000">
        <w:rPr>
          <w:rtl w:val="0"/>
        </w:rPr>
        <w:t xml:space="preserve">, </w:t>
      </w:r>
      <w:r w:rsidDel="00000000" w:rsidR="00000000" w:rsidRPr="00000000">
        <w:rPr>
          <w:i w:val="1"/>
          <w:rtl w:val="0"/>
        </w:rPr>
        <w:t xml:space="preserve">Diabetes</w:t>
      </w:r>
      <w:r w:rsidDel="00000000" w:rsidR="00000000" w:rsidRPr="00000000">
        <w:rPr>
          <w:rtl w:val="0"/>
        </w:rPr>
        <w:t xml:space="preserve">, </w:t>
      </w:r>
      <w:r w:rsidDel="00000000" w:rsidR="00000000" w:rsidRPr="00000000">
        <w:rPr>
          <w:i w:val="1"/>
          <w:rtl w:val="0"/>
        </w:rPr>
        <w:t xml:space="preserve">Injury</w:t>
      </w:r>
      <w:r w:rsidDel="00000000" w:rsidR="00000000" w:rsidRPr="00000000">
        <w:rPr>
          <w:rtl w:val="0"/>
        </w:rPr>
        <w:t xml:space="preserve">, </w:t>
      </w:r>
      <w:r w:rsidDel="00000000" w:rsidR="00000000" w:rsidRPr="00000000">
        <w:rPr>
          <w:i w:val="1"/>
          <w:rtl w:val="0"/>
        </w:rPr>
        <w:t xml:space="preserve">Other</w:t>
      </w:r>
      <w:r w:rsidDel="00000000" w:rsidR="00000000" w:rsidRPr="00000000">
        <w:rPr>
          <w:rtl w:val="0"/>
        </w:rPr>
        <w:t xml:space="preserve">) using established ICD-9 clinical groupings 666.</w:t>
      </w:r>
    </w:p>
    <w:p w:rsidR="00000000" w:rsidDel="00000000" w:rsidP="00000000" w:rsidRDefault="00000000" w:rsidRPr="00000000" w14:paraId="0000000F">
      <w:pPr>
        <w:spacing w:after="240" w:before="240" w:lineRule="auto"/>
        <w:rPr/>
      </w:pPr>
      <w:r w:rsidDel="00000000" w:rsidR="00000000" w:rsidRPr="00000000">
        <w:rPr>
          <w:rtl w:val="0"/>
        </w:rPr>
        <w:t xml:space="preserve">Features used in modeling included:</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rtl w:val="0"/>
        </w:rPr>
        <w:t xml:space="preserve">Demographic:</w:t>
      </w:r>
      <w:r w:rsidDel="00000000" w:rsidR="00000000" w:rsidRPr="00000000">
        <w:rPr>
          <w:rtl w:val="0"/>
        </w:rPr>
        <w:t xml:space="preserve"> race, gender, age bracket</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Admission context:</w:t>
      </w:r>
      <w:r w:rsidDel="00000000" w:rsidR="00000000" w:rsidRPr="00000000">
        <w:rPr>
          <w:rtl w:val="0"/>
        </w:rPr>
        <w:t xml:space="preserve"> admission type, discharge disposition, admission source</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Utilization measures:</w:t>
      </w:r>
      <w:r w:rsidDel="00000000" w:rsidR="00000000" w:rsidRPr="00000000">
        <w:rPr>
          <w:rtl w:val="0"/>
        </w:rPr>
        <w:t xml:space="preserve"> number of prior outpatient/emergency/inpatient visits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Clinical intensity:</w:t>
      </w:r>
      <w:r w:rsidDel="00000000" w:rsidR="00000000" w:rsidRPr="00000000">
        <w:rPr>
          <w:rtl w:val="0"/>
        </w:rPr>
        <w:t xml:space="preserve"> length of stay, number of procedures, number of medications</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rtl w:val="0"/>
        </w:rPr>
        <w:t xml:space="preserve">Diagnosis categories</w:t>
      </w:r>
      <w:r w:rsidDel="00000000" w:rsidR="00000000" w:rsidRPr="00000000">
        <w:rPr>
          <w:rtl w:val="0"/>
        </w:rPr>
        <w:t xml:space="preserve"> as described above</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Categorical variables were encoded using one-hot encoding; numeric variables were standardized.</w:t>
      </w:r>
    </w:p>
    <w:p w:rsidR="00000000" w:rsidDel="00000000" w:rsidP="00000000" w:rsidRDefault="00000000" w:rsidRPr="00000000" w14:paraId="00000016">
      <w:pPr>
        <w:pStyle w:val="Heading3"/>
        <w:keepNext w:val="0"/>
        <w:keepLines w:val="0"/>
        <w:rPr>
          <w:color w:val="000000"/>
          <w:sz w:val="26"/>
          <w:szCs w:val="26"/>
        </w:rPr>
      </w:pPr>
      <w:bookmarkStart w:colFirst="0" w:colLast="0" w:name="_k286tvb3i7z2" w:id="5"/>
      <w:bookmarkEnd w:id="5"/>
      <w:r w:rsidDel="00000000" w:rsidR="00000000" w:rsidRPr="00000000">
        <w:rPr>
          <w:color w:val="000000"/>
          <w:sz w:val="26"/>
          <w:szCs w:val="26"/>
          <w:rtl w:val="0"/>
        </w:rPr>
        <w:t xml:space="preserve">2.4 Class Imbalance Handling</w:t>
      </w:r>
    </w:p>
    <w:p w:rsidR="00000000" w:rsidDel="00000000" w:rsidP="00000000" w:rsidRDefault="00000000" w:rsidRPr="00000000" w14:paraId="00000017">
      <w:pPr>
        <w:spacing w:after="240" w:before="240" w:lineRule="auto"/>
        <w:rPr/>
      </w:pPr>
      <w:r w:rsidDel="00000000" w:rsidR="00000000" w:rsidRPr="00000000">
        <w:rPr>
          <w:rtl w:val="0"/>
        </w:rPr>
        <w:t xml:space="preserve">Since only ~11% of encounters resulted in 30-day readmission, models were trained using </w:t>
      </w:r>
      <w:r w:rsidDel="00000000" w:rsidR="00000000" w:rsidRPr="00000000">
        <w:rPr>
          <w:b w:val="1"/>
          <w:rtl w:val="0"/>
        </w:rPr>
        <w:t xml:space="preserve">class weighting</w:t>
      </w:r>
      <w:r w:rsidDel="00000000" w:rsidR="00000000" w:rsidRPr="00000000">
        <w:rPr>
          <w:rtl w:val="0"/>
        </w:rPr>
        <w:t xml:space="preserve"> to increase the penalty on false negatives. For XGBoost, the ratio </w:t>
      </w:r>
      <w:r w:rsidDel="00000000" w:rsidR="00000000" w:rsidRPr="00000000">
        <w:rPr>
          <w:rFonts w:ascii="Roboto Mono" w:cs="Roboto Mono" w:eastAsia="Roboto Mono" w:hAnsi="Roboto Mono"/>
          <w:color w:val="188038"/>
          <w:rtl w:val="0"/>
        </w:rPr>
        <w:t xml:space="preserve">scale_pos_weight = (N_negative / N_positive)</w:t>
      </w:r>
      <w:r w:rsidDel="00000000" w:rsidR="00000000" w:rsidRPr="00000000">
        <w:rPr>
          <w:rtl w:val="0"/>
        </w:rPr>
        <w:t xml:space="preserve"> was used.</w:t>
      </w:r>
    </w:p>
    <w:p w:rsidR="00000000" w:rsidDel="00000000" w:rsidP="00000000" w:rsidRDefault="00000000" w:rsidRPr="00000000" w14:paraId="00000018">
      <w:pPr>
        <w:pStyle w:val="Heading3"/>
        <w:keepNext w:val="0"/>
        <w:keepLines w:val="0"/>
        <w:rPr>
          <w:color w:val="000000"/>
          <w:sz w:val="26"/>
          <w:szCs w:val="26"/>
        </w:rPr>
      </w:pPr>
      <w:bookmarkStart w:colFirst="0" w:colLast="0" w:name="_mv0ekuc3jawo" w:id="6"/>
      <w:bookmarkEnd w:id="6"/>
      <w:r w:rsidDel="00000000" w:rsidR="00000000" w:rsidRPr="00000000">
        <w:rPr>
          <w:color w:val="000000"/>
          <w:sz w:val="26"/>
          <w:szCs w:val="26"/>
          <w:rtl w:val="0"/>
        </w:rPr>
        <w:t xml:space="preserve">2.5 Models Evaluated</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b w:val="1"/>
          <w:rtl w:val="0"/>
        </w:rPr>
        <w:t xml:space="preserve">Logistic Regression:</w:t>
      </w:r>
      <w:r w:rsidDel="00000000" w:rsidR="00000000" w:rsidRPr="00000000">
        <w:rPr>
          <w:rtl w:val="0"/>
        </w:rPr>
        <w:t xml:space="preserve"> interpretable linear baseline</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rtl w:val="0"/>
        </w:rPr>
        <w:t xml:space="preserve">Random Forest:</w:t>
      </w:r>
      <w:r w:rsidDel="00000000" w:rsidR="00000000" w:rsidRPr="00000000">
        <w:rPr>
          <w:rtl w:val="0"/>
        </w:rPr>
        <w:t xml:space="preserve"> ensemble of decision trees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rtl w:val="0"/>
        </w:rPr>
        <w:t xml:space="preserve">XGBoost:</w:t>
      </w:r>
      <w:r w:rsidDel="00000000" w:rsidR="00000000" w:rsidRPr="00000000">
        <w:rPr>
          <w:rtl w:val="0"/>
        </w:rPr>
        <w:t xml:space="preserve"> gradient boosting model optimized for structured tabular data</w:t>
        <w:br w:type="textWrapping"/>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Neural Network:</w:t>
      </w:r>
      <w:r w:rsidDel="00000000" w:rsidR="00000000" w:rsidRPr="00000000">
        <w:rPr>
          <w:rtl w:val="0"/>
        </w:rPr>
        <w:t xml:space="preserve"> feed-forward network with two hidden layers</w:t>
        <w:br w:type="textWrapping"/>
      </w:r>
    </w:p>
    <w:p w:rsidR="00000000" w:rsidDel="00000000" w:rsidP="00000000" w:rsidRDefault="00000000" w:rsidRPr="00000000" w14:paraId="0000001D">
      <w:pPr>
        <w:pStyle w:val="Heading3"/>
        <w:keepNext w:val="0"/>
        <w:keepLines w:val="0"/>
        <w:rPr>
          <w:color w:val="000000"/>
          <w:sz w:val="26"/>
          <w:szCs w:val="26"/>
        </w:rPr>
      </w:pPr>
      <w:bookmarkStart w:colFirst="0" w:colLast="0" w:name="_cm0n74ghqgdo" w:id="7"/>
      <w:bookmarkEnd w:id="7"/>
      <w:r w:rsidDel="00000000" w:rsidR="00000000" w:rsidRPr="00000000">
        <w:rPr>
          <w:color w:val="000000"/>
          <w:sz w:val="26"/>
          <w:szCs w:val="26"/>
          <w:rtl w:val="0"/>
        </w:rPr>
        <w:t xml:space="preserve">2.6 Evaluation Metrics</w:t>
      </w:r>
    </w:p>
    <w:p w:rsidR="00000000" w:rsidDel="00000000" w:rsidP="00000000" w:rsidRDefault="00000000" w:rsidRPr="00000000" w14:paraId="0000001E">
      <w:pPr>
        <w:spacing w:after="240" w:before="240" w:lineRule="auto"/>
        <w:rPr/>
      </w:pPr>
      <w:r w:rsidDel="00000000" w:rsidR="00000000" w:rsidRPr="00000000">
        <w:rPr>
          <w:rtl w:val="0"/>
        </w:rPr>
        <w:t xml:space="preserve">To account for imbalance, performance was evaluated using:</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rtl w:val="0"/>
        </w:rPr>
        <w:t xml:space="preserve">ROC-AUC</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F1 Score</w:t>
        <w:br w:type="textWrapping"/>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rtl w:val="0"/>
        </w:rPr>
        <w:t xml:space="preserve">Precision and Recall</w:t>
        <w:br w:type="textWrapping"/>
      </w:r>
    </w:p>
    <w:p w:rsidR="00000000" w:rsidDel="00000000" w:rsidP="00000000" w:rsidRDefault="00000000" w:rsidRPr="00000000" w14:paraId="00000022">
      <w:pPr>
        <w:pStyle w:val="Heading3"/>
        <w:keepNext w:val="0"/>
        <w:keepLines w:val="0"/>
        <w:rPr>
          <w:color w:val="000000"/>
          <w:sz w:val="26"/>
          <w:szCs w:val="26"/>
        </w:rPr>
      </w:pPr>
      <w:bookmarkStart w:colFirst="0" w:colLast="0" w:name="_jtkmcy8foqpf" w:id="8"/>
      <w:bookmarkEnd w:id="8"/>
      <w:r w:rsidDel="00000000" w:rsidR="00000000" w:rsidRPr="00000000">
        <w:rPr>
          <w:color w:val="000000"/>
          <w:sz w:val="26"/>
          <w:szCs w:val="26"/>
          <w:rtl w:val="0"/>
        </w:rPr>
        <w:t xml:space="preserve">2.7 Fairness Evaluation</w:t>
      </w:r>
    </w:p>
    <w:p w:rsidR="00000000" w:rsidDel="00000000" w:rsidP="00000000" w:rsidRDefault="00000000" w:rsidRPr="00000000" w14:paraId="00000023">
      <w:pPr>
        <w:spacing w:after="240" w:before="240" w:lineRule="auto"/>
        <w:rPr/>
      </w:pPr>
      <w:r w:rsidDel="00000000" w:rsidR="00000000" w:rsidRPr="00000000">
        <w:rPr>
          <w:rtl w:val="0"/>
        </w:rPr>
        <w:t xml:space="preserve">Fairness was assessed across </w:t>
      </w:r>
      <w:r w:rsidDel="00000000" w:rsidR="00000000" w:rsidRPr="00000000">
        <w:rPr>
          <w:b w:val="1"/>
          <w:rtl w:val="0"/>
        </w:rPr>
        <w:t xml:space="preserve">racial groups</w:t>
      </w:r>
      <w:r w:rsidDel="00000000" w:rsidR="00000000" w:rsidRPr="00000000">
        <w:rPr>
          <w:rtl w:val="0"/>
        </w:rPr>
        <w:t xml:space="preserve"> using:</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rtl w:val="0"/>
        </w:rPr>
        <w:t xml:space="preserve">True Positive Rate (TPR)</w:t>
      </w:r>
      <w:r w:rsidDel="00000000" w:rsidR="00000000" w:rsidRPr="00000000">
        <w:rPr>
          <w:rtl w:val="0"/>
        </w:rPr>
        <w:t xml:space="preserve"> differences (equal opportunity fairness)</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rtl w:val="0"/>
        </w:rPr>
        <w:t xml:space="preserve">False Positive Rate (FPR)</w:t>
      </w:r>
      <w:r w:rsidDel="00000000" w:rsidR="00000000" w:rsidRPr="00000000">
        <w:rPr>
          <w:rtl w:val="0"/>
        </w:rPr>
        <w:t xml:space="preserve"> differences (resource allocation burden)</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Metrics were computed using the </w:t>
      </w:r>
      <w:r w:rsidDel="00000000" w:rsidR="00000000" w:rsidRPr="00000000">
        <w:rPr>
          <w:b w:val="1"/>
          <w:rtl w:val="0"/>
        </w:rPr>
        <w:t xml:space="preserve">fairlearn</w:t>
      </w:r>
      <w:r w:rsidDel="00000000" w:rsidR="00000000" w:rsidRPr="00000000">
        <w:rPr>
          <w:rtl w:val="0"/>
        </w:rPr>
        <w:t xml:space="preserve"> framework.</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rPr>
          <w:sz w:val="34"/>
          <w:szCs w:val="34"/>
        </w:rPr>
      </w:pPr>
      <w:bookmarkStart w:colFirst="0" w:colLast="0" w:name="_e9rm9zryw1bk" w:id="9"/>
      <w:bookmarkEnd w:id="9"/>
      <w:r w:rsidDel="00000000" w:rsidR="00000000" w:rsidRPr="00000000">
        <w:rPr>
          <w:sz w:val="34"/>
          <w:szCs w:val="34"/>
          <w:rtl w:val="0"/>
        </w:rPr>
        <w:t xml:space="preserve">3. Results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1811668372568"/>
        <w:gridCol w:w="1240.6550665301943"/>
        <w:gridCol w:w="1916.069600818833"/>
        <w:gridCol w:w="4244.094165813715"/>
        <w:tblGridChange w:id="0">
          <w:tblGrid>
            <w:gridCol w:w="1959.1811668372568"/>
            <w:gridCol w:w="1240.6550665301943"/>
            <w:gridCol w:w="1916.069600818833"/>
            <w:gridCol w:w="4244.0941658137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rtl w:val="0"/>
              </w:rPr>
              <w:t xml:space="preserve">ROC-AUC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F1 (Positive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Balanced recall; interpretable coefficients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Failed to identify positive cases consistently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Neural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Moderate recall but lower discriminative power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Best overall balance of recall and stability</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Logistic Regression and XGBoost demonstrated </w:t>
      </w:r>
      <w:r w:rsidDel="00000000" w:rsidR="00000000" w:rsidRPr="00000000">
        <w:rPr>
          <w:b w:val="1"/>
          <w:rtl w:val="0"/>
        </w:rPr>
        <w:t xml:space="preserve">clinically meaningful recall</w:t>
      </w:r>
      <w:r w:rsidDel="00000000" w:rsidR="00000000" w:rsidRPr="00000000">
        <w:rPr>
          <w:rtl w:val="0"/>
        </w:rPr>
        <w:t xml:space="preserve"> (~0.54–0.56), indicating the models captured useful risk signal beyond demographic priors. Random Forest, while achieving high accuracy, returned nearly all negative predictions, highlighting that </w:t>
      </w:r>
      <w:r w:rsidDel="00000000" w:rsidR="00000000" w:rsidRPr="00000000">
        <w:rPr>
          <w:b w:val="1"/>
          <w:rtl w:val="0"/>
        </w:rPr>
        <w:t xml:space="preserve">accuracy alone is misleading in imbalanced clinical datasets</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3"/>
        <w:keepNext w:val="0"/>
        <w:keepLines w:val="0"/>
        <w:rPr>
          <w:color w:val="000000"/>
          <w:sz w:val="26"/>
          <w:szCs w:val="26"/>
        </w:rPr>
      </w:pPr>
      <w:bookmarkStart w:colFirst="0" w:colLast="0" w:name="_xb8tt6n7vbh1" w:id="10"/>
      <w:bookmarkEnd w:id="10"/>
      <w:r w:rsidDel="00000000" w:rsidR="00000000" w:rsidRPr="00000000">
        <w:rPr>
          <w:color w:val="000000"/>
          <w:sz w:val="26"/>
          <w:szCs w:val="26"/>
          <w:rtl w:val="0"/>
        </w:rPr>
        <w:t xml:space="preserve">Fairness Findings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Logistic Regression and XGBoost </w:t>
      </w:r>
      <w:r w:rsidDel="00000000" w:rsidR="00000000" w:rsidRPr="00000000">
        <w:rPr>
          <w:b w:val="1"/>
          <w:rtl w:val="0"/>
        </w:rPr>
        <w:t xml:space="preserve">both exhibited moderate racial disparities</w:t>
      </w:r>
      <w:r w:rsidDel="00000000" w:rsidR="00000000" w:rsidRPr="00000000">
        <w:rPr>
          <w:rFonts w:ascii="Arial Unicode MS" w:cs="Arial Unicode MS" w:eastAsia="Arial Unicode MS" w:hAnsi="Arial Unicode MS"/>
          <w:rtl w:val="0"/>
        </w:rPr>
        <w:t xml:space="preserve"> in TPR (≈0.07–0.14) and FPR (≈0.13–0.16).</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Neural Network </w:t>
      </w:r>
      <w:r w:rsidDel="00000000" w:rsidR="00000000" w:rsidRPr="00000000">
        <w:rPr>
          <w:b w:val="1"/>
          <w:rtl w:val="0"/>
        </w:rPr>
        <w:t xml:space="preserve">amplified</w:t>
      </w:r>
      <w:r w:rsidDel="00000000" w:rsidR="00000000" w:rsidRPr="00000000">
        <w:rPr>
          <w:rFonts w:ascii="Arial Unicode MS" w:cs="Arial Unicode MS" w:eastAsia="Arial Unicode MS" w:hAnsi="Arial Unicode MS"/>
          <w:rtl w:val="0"/>
        </w:rPr>
        <w:t xml:space="preserve"> disparities (TPR disparity ≈0.19).</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Random Forest appeared “fair” only because it predicted </w:t>
      </w:r>
      <w:r w:rsidDel="00000000" w:rsidR="00000000" w:rsidRPr="00000000">
        <w:rPr>
          <w:b w:val="1"/>
          <w:rtl w:val="0"/>
        </w:rPr>
        <w:t xml:space="preserve">almost no positive cases</w:t>
      </w:r>
      <w:r w:rsidDel="00000000" w:rsidR="00000000" w:rsidRPr="00000000">
        <w:rPr>
          <w:rtl w:val="0"/>
        </w:rPr>
        <w:t xml:space="preserve">—a misleading indicator of fairness.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Thus, models with </w:t>
      </w:r>
      <w:r w:rsidDel="00000000" w:rsidR="00000000" w:rsidRPr="00000000">
        <w:rPr>
          <w:b w:val="1"/>
          <w:rtl w:val="0"/>
        </w:rPr>
        <w:t xml:space="preserve">useful predictive performance also produced unequal error rates across racial groups</w:t>
      </w:r>
      <w:r w:rsidDel="00000000" w:rsidR="00000000" w:rsidRPr="00000000">
        <w:rPr>
          <w:rtl w:val="0"/>
        </w:rPr>
        <w:t xml:space="preserve">, raising concerns about disproportionate clinical intervention or neglect.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rPr>
          <w:sz w:val="34"/>
          <w:szCs w:val="34"/>
        </w:rPr>
      </w:pPr>
      <w:bookmarkStart w:colFirst="0" w:colLast="0" w:name="_ku3cbfhmwlr9" w:id="11"/>
      <w:bookmarkEnd w:id="11"/>
      <w:r w:rsidDel="00000000" w:rsidR="00000000" w:rsidRPr="00000000">
        <w:rPr>
          <w:sz w:val="34"/>
          <w:szCs w:val="34"/>
          <w:rtl w:val="0"/>
        </w:rPr>
        <w:t xml:space="preserve">4. Discussion</w:t>
      </w:r>
    </w:p>
    <w:p w:rsidR="00000000" w:rsidDel="00000000" w:rsidP="00000000" w:rsidRDefault="00000000" w:rsidRPr="00000000" w14:paraId="00000047">
      <w:pPr>
        <w:spacing w:after="240" w:before="240" w:lineRule="auto"/>
        <w:rPr/>
      </w:pPr>
      <w:r w:rsidDel="00000000" w:rsidR="00000000" w:rsidRPr="00000000">
        <w:rPr>
          <w:rtl w:val="0"/>
        </w:rPr>
        <w:t xml:space="preserve">Predicting hospital readmission remains a challenging task due to the influence of factors not captured in structured EHR data, including social support, transportation, medication adherence, provider continuity, and insurance constraints 777. The moderate performance observed here aligns with prior findings: readmissions are driven by multi-factor risk processes that resist full modeling.</w:t>
      </w:r>
    </w:p>
    <w:p w:rsidR="00000000" w:rsidDel="00000000" w:rsidP="00000000" w:rsidRDefault="00000000" w:rsidRPr="00000000" w14:paraId="00000048">
      <w:pPr>
        <w:spacing w:after="240" w:before="240" w:lineRule="auto"/>
        <w:rPr>
          <w:b w:val="1"/>
        </w:rPr>
      </w:pPr>
      <w:r w:rsidDel="00000000" w:rsidR="00000000" w:rsidRPr="00000000">
        <w:rPr>
          <w:rtl w:val="0"/>
        </w:rPr>
        <w:t xml:space="preserve">Crucially, </w:t>
      </w:r>
      <w:r w:rsidDel="00000000" w:rsidR="00000000" w:rsidRPr="00000000">
        <w:rPr>
          <w:b w:val="1"/>
          <w:rtl w:val="0"/>
        </w:rPr>
        <w:t xml:space="preserve">model performance and fairness are linked</w:t>
      </w:r>
      <w:r w:rsidDel="00000000" w:rsidR="00000000" w:rsidRPr="00000000">
        <w:rPr>
          <w:rtl w:val="0"/>
        </w:rPr>
        <w:t xml:space="preserve">. Models that detect more positive cases also tend to exhibit </w:t>
      </w:r>
      <w:r w:rsidDel="00000000" w:rsidR="00000000" w:rsidRPr="00000000">
        <w:rPr>
          <w:b w:val="1"/>
          <w:rtl w:val="0"/>
        </w:rPr>
        <w:t xml:space="preserve">greater disparity in TPR/FPR across racial groups</w:t>
      </w:r>
      <w:r w:rsidDel="00000000" w:rsidR="00000000" w:rsidRPr="00000000">
        <w:rPr>
          <w:rtl w:val="0"/>
        </w:rPr>
        <w:t xml:space="preserve">. This reflects existing structural inequities in healthcare access and follow-up adherence, which become encoded in the training data. Therefore, </w:t>
      </w:r>
      <w:r w:rsidDel="00000000" w:rsidR="00000000" w:rsidRPr="00000000">
        <w:rPr>
          <w:b w:val="1"/>
          <w:rtl w:val="0"/>
        </w:rPr>
        <w:t xml:space="preserve">fairness analysis is not optional—it is necessary for responsible clinical ML deployment.</w:t>
      </w:r>
    </w:p>
    <w:p w:rsidR="00000000" w:rsidDel="00000000" w:rsidP="00000000" w:rsidRDefault="00000000" w:rsidRPr="00000000" w14:paraId="00000049">
      <w:pPr>
        <w:spacing w:after="240" w:before="240" w:lineRule="auto"/>
        <w:rPr/>
      </w:pPr>
      <w:r w:rsidDel="00000000" w:rsidR="00000000" w:rsidRPr="00000000">
        <w:rPr>
          <w:rtl w:val="0"/>
        </w:rPr>
        <w:t xml:space="preserve">Future work should incorporate:</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Threshold optimization targeted at equal opportunity</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Incorporation of social determinants of health variables</w:t>
        <w:br w:type="textWrapping"/>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Calibration-by-subgroup to improve interpretive reliability</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rPr>
          <w:sz w:val="34"/>
          <w:szCs w:val="34"/>
        </w:rPr>
      </w:pPr>
      <w:bookmarkStart w:colFirst="0" w:colLast="0" w:name="_6ws9rokyagha" w:id="12"/>
      <w:bookmarkEnd w:id="12"/>
      <w:r w:rsidDel="00000000" w:rsidR="00000000" w:rsidRPr="00000000">
        <w:rPr>
          <w:sz w:val="34"/>
          <w:szCs w:val="34"/>
          <w:rtl w:val="0"/>
        </w:rPr>
        <w:t xml:space="preserve">5. Conclusion</w:t>
      </w:r>
    </w:p>
    <w:p w:rsidR="00000000" w:rsidDel="00000000" w:rsidP="00000000" w:rsidRDefault="00000000" w:rsidRPr="00000000" w14:paraId="00000052">
      <w:pPr>
        <w:spacing w:after="240" w:before="240" w:lineRule="auto"/>
        <w:rPr/>
      </w:pPr>
      <w:r w:rsidDel="00000000" w:rsidR="00000000" w:rsidRPr="00000000">
        <w:rPr>
          <w:rtl w:val="0"/>
        </w:rPr>
        <w:t xml:space="preserve">This study demonstrates that achieving clinically meaningful predictive performance in 30-day readmission modeling requires both </w:t>
      </w:r>
      <w:r w:rsidDel="00000000" w:rsidR="00000000" w:rsidRPr="00000000">
        <w:rPr>
          <w:b w:val="1"/>
          <w:rtl w:val="0"/>
        </w:rPr>
        <w:t xml:space="preserve">feature engineering and explicit imbalance handling</w:t>
      </w:r>
      <w:r w:rsidDel="00000000" w:rsidR="00000000" w:rsidRPr="00000000">
        <w:rPr>
          <w:rtl w:val="0"/>
        </w:rPr>
        <w:t xml:space="preserve">. Models such as Logistic Regression and XGBoost can recover useful signal but introduce </w:t>
      </w:r>
      <w:r w:rsidDel="00000000" w:rsidR="00000000" w:rsidRPr="00000000">
        <w:rPr>
          <w:b w:val="1"/>
          <w:rtl w:val="0"/>
        </w:rPr>
        <w:t xml:space="preserve">non-trivial racial disparities in recall and false-positive burden</w:t>
      </w:r>
      <w:r w:rsidDel="00000000" w:rsidR="00000000" w:rsidRPr="00000000">
        <w:rPr>
          <w:rtl w:val="0"/>
        </w:rPr>
        <w:t xml:space="preserve">. Fairness auditing is therefore essential prior to deployment, particularly in models intended to guide clinical resource allocation.</w:t>
      </w:r>
    </w:p>
    <w:p w:rsidR="00000000" w:rsidDel="00000000" w:rsidP="00000000" w:rsidRDefault="00000000" w:rsidRPr="00000000" w14:paraId="00000053">
      <w:pPr>
        <w:spacing w:after="240" w:before="240" w:lineRule="auto"/>
        <w:rPr/>
      </w:pPr>
      <w:r w:rsidDel="00000000" w:rsidR="00000000" w:rsidRPr="00000000">
        <w:rPr>
          <w:rtl w:val="0"/>
        </w:rPr>
        <w:t xml:space="preserve">This project highlights the importance of evaluating machine learning models in healthcare </w:t>
      </w:r>
      <w:r w:rsidDel="00000000" w:rsidR="00000000" w:rsidRPr="00000000">
        <w:rPr>
          <w:b w:val="1"/>
          <w:rtl w:val="0"/>
        </w:rPr>
        <w:t xml:space="preserve">not only on predictive metrics but also on their equity implications</w:t>
      </w:r>
      <w:r w:rsidDel="00000000" w:rsidR="00000000" w:rsidRPr="00000000">
        <w:rPr>
          <w:rtl w:val="0"/>
        </w:rPr>
        <w:t xml:space="preserve">, aligning data science practice with ethical and clinical standards.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