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numPr>
          <w:ilvl w:val="2"/>
          <w:numId w:val="1"/>
        </w:numPr>
        <w:spacing w:after="120" w:before="140"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Template Based approach for Augmenting Image Descriptions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this project, we are working on a template based approach for augmenting textual description / caption provided in the textbook for experimental setup diagram, which is ono of the profound category of diagrams found in STEM textbooks.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approach requires image processing to detect objects and their positionings, which can help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understanding the interaction among the objects.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Further,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atural language processing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techniques will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generate the precise description of the diagram.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Akshansh Chahal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(BTP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spacing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Description of Geometrical Diagrams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project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we are working on generating textual description for the geometry diagrams, which is one of the most commonly found diagram in mathematics textbooks. The objective involves to come up with a precise description which can lead to exact replication of the diagram. Further analysis will be done to make the description contextual dependent and least verbose.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Image processing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techniques are used for finding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primitive shapes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along with its properties and associated labels. Then the natural lang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uage processing techniques will be explored to generate the desired textual description.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Jyoti, Sruti Goyal, Tuhina Verma (MiniP 2018)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PDF to ePub converter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focus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on analysis and recognition of the PDF documents containing textual content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paragraphs, list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various heading levels,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header, and footer, and non-textual content like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tables, mathematics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diagrams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which are most common scenario in STEM ebooks.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Further, this analysis will be used to generate corresponding fully-accessible ePub files.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Chrystle Myrna Lobo (Mini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Mickle Gill (BTP 2018),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Abhilash Ramteke (COP315 2018)</w:t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Unicode converter</w:t>
      </w:r>
    </w:p>
    <w:p w:rsidR="00000000" w:rsidDel="00000000" w:rsidP="00000000" w:rsidRDefault="00000000" w:rsidRPr="00000000" w14:paraId="00000007">
      <w:pPr>
        <w:spacing w:after="0" w:before="0" w:line="276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z w:val="20"/>
          <w:szCs w:val="20"/>
          <w:rtl w:val="0"/>
        </w:rPr>
        <w:t xml:space="preserve">About: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Project focuses on conversion of Non-Unicode content to Unicode for Devanagari Script files using Javascript in InDesign. This includes extracting non-Unicode text portions from the file followed by their conversion to Unicode using existing/improved font-converters. Working directly on InDesign files, instead of converting their ePub exports, reduces publisher effort and also allows generation of EPUB books from the same source as the print books.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Sankalan Pal Chowdhury, Prakhar Agrawal, Sukriti Gupta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(COP315 2018)</w:t>
      </w:r>
    </w:p>
    <w:p w:rsidR="00000000" w:rsidDel="00000000" w:rsidP="00000000" w:rsidRDefault="00000000" w:rsidRPr="00000000" w14:paraId="00000008">
      <w:pPr>
        <w:spacing w:after="0" w:before="0" w:line="276" w:lineRule="auto"/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Aditya Jain, Akshay Patel, Mani Karan Soni (NDN, 2017)</w:t>
      </w:r>
    </w:p>
    <w:p w:rsidR="00000000" w:rsidDel="00000000" w:rsidP="00000000" w:rsidRDefault="00000000" w:rsidRPr="00000000" w14:paraId="00000009">
      <w:pPr>
        <w:spacing w:after="0" w:before="0"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 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Rakshak Satsangi, Abhishek Kumar Barnwal (BTP,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1"/>
        </w:numPr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Adapting tesseract for mathematical content</w:t>
      </w:r>
    </w:p>
    <w:p w:rsidR="00000000" w:rsidDel="00000000" w:rsidP="00000000" w:rsidRDefault="00000000" w:rsidRPr="00000000" w14:paraId="0000000C">
      <w:pPr>
        <w:spacing w:after="57" w:before="57"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About: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Project focuses on adaptation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tesseract (Open source OCR from Google Inc) for recognizing the mathematical equations. This projects assumes that the input image contains only mathematical equation, any other type of textual or non-textual content is not available.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Saurabh Sharma (MTP, 2017)</w:t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Enhancing Audio Tactile Support with Gestures and Cloud Sourcing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About: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Projects is for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nhancing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udio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actile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upport with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estures and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loud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ourcing, which helped to build an application enabling visually impaired users to understand 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tactile diagram 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as they move their fingers on it. The application reads out the information corresponding to the pointed region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detecting the finger position and after getting the information from the web (e.g. wikipedia). The app also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provide gesture support for 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navigat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 through the information like skip over some section or rewind the content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etc.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Chandan Yadav, Sumit Kumar (BTP, 2017)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ind w:left="0" w:righ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Table navigation on Android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About: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helped to enhance tables (Standard and Non-Standard) accessibility with screen reader like Google TalkBack on Android platform. It focused on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 table navigation in electronic documents for improving navigation (moving up, down, left and right)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touch based gestures,</w:t>
      </w:r>
      <w:r w:rsidDel="00000000" w:rsidR="00000000" w:rsidRPr="00000000">
        <w:rPr>
          <w:rFonts w:ascii="Arial" w:cs="Arial" w:eastAsia="Arial" w:hAnsi="Arial"/>
          <w:i w:val="0"/>
          <w:smallCaps w:val="0"/>
          <w:sz w:val="20"/>
          <w:szCs w:val="20"/>
          <w:rtl w:val="0"/>
        </w:rPr>
        <w:t xml:space="preserve"> which would greatly ease the navigation for the visually impaired.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Nikhil Pratap, Nanavath Bharath (BTP, 2017)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ind w:left="0" w:righ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ePub to PEF converter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About: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This project is focused on development of a converter which can convert an ePub file into PEF (Portable Embosser Format), which can be directly passed to any braille embosser.</w:t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Students: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Prem Ranjan, Anoop Kumar (BTP, 2017)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spacing w:after="120" w:before="140" w:lineRule="auto"/>
        <w:ind w:left="0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231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Title"/>
      <w:spacing w:after="120" w:before="240" w:lineRule="auto"/>
      <w:contextualSpacing w:val="0"/>
      <w:jc w:val="center"/>
      <w:rPr/>
    </w:pPr>
    <w:r w:rsidDel="00000000" w:rsidR="00000000" w:rsidRPr="00000000">
      <w:rPr>
        <w:rtl w:val="0"/>
      </w:rPr>
      <w:t xml:space="preserve">Project Details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right="0" w:firstLine="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