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065E0" w14:textId="1533813F" w:rsidR="006B5078" w:rsidRDefault="00E305B5">
      <w:r w:rsidRPr="00473193">
        <w:rPr>
          <w:noProof/>
          <w:vertAlign w:val="subscript"/>
          <w:lang w:eastAsia="en-GB"/>
        </w:rPr>
        <w:drawing>
          <wp:inline distT="0" distB="0" distL="0" distR="0" wp14:anchorId="58410CED" wp14:editId="5299D609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EC0ADF">
        <w:t xml:space="preserve">  </w:t>
      </w:r>
    </w:p>
    <w:p w14:paraId="51123FC6" w14:textId="77777777" w:rsidR="006B5078" w:rsidRPr="006B5078" w:rsidRDefault="006B5078" w:rsidP="006B5078"/>
    <w:p w14:paraId="6965086B" w14:textId="77777777" w:rsidR="006B5078" w:rsidRPr="006B5078" w:rsidRDefault="006B5078" w:rsidP="006B5078"/>
    <w:p w14:paraId="73F21092" w14:textId="5211EBBF" w:rsidR="00A239BF" w:rsidRDefault="006B5078" w:rsidP="006B5078">
      <w:pPr>
        <w:tabs>
          <w:tab w:val="left" w:pos="951"/>
        </w:tabs>
      </w:pPr>
      <w:r>
        <w:tab/>
        <w:t xml:space="preserve">tortoise </w:t>
      </w:r>
      <w:r w:rsidR="003B6CF4">
        <w:t>\</w:t>
      </w:r>
    </w:p>
    <w:p w14:paraId="179BE0F6" w14:textId="78257E4F" w:rsidR="003B6CF4" w:rsidRDefault="00D25D85" w:rsidP="006B5078">
      <w:pPr>
        <w:tabs>
          <w:tab w:val="left" w:pos="951"/>
        </w:tabs>
      </w:pPr>
      <w:r>
        <w:t xml:space="preserve">amusement </w:t>
      </w:r>
    </w:p>
    <w:p w14:paraId="232DFDE8" w14:textId="27F81024" w:rsidR="003B6CF4" w:rsidRDefault="005B04E1" w:rsidP="00433927">
      <w:pPr>
        <w:tabs>
          <w:tab w:val="left" w:pos="951"/>
        </w:tabs>
      </w:pPr>
      <w:r>
        <w:t>commitment</w:t>
      </w:r>
      <w:bookmarkStart w:id="0" w:name="_GoBack"/>
      <w:bookmarkEnd w:id="0"/>
      <w:r w:rsidR="00D3004C">
        <w:t xml:space="preserve"> </w:t>
      </w:r>
    </w:p>
    <w:p w14:paraId="3D0BEE7A" w14:textId="2ED47C95" w:rsidR="00D3004C" w:rsidRDefault="00D3004C" w:rsidP="006B5078">
      <w:pPr>
        <w:tabs>
          <w:tab w:val="left" w:pos="951"/>
        </w:tabs>
      </w:pPr>
      <w:r>
        <w:t>16: hold onto your hats cars about to go over a large bump</w:t>
      </w:r>
    </w:p>
    <w:p w14:paraId="6245FCCA" w14:textId="0D82DEC0" w:rsidR="00D3004C" w:rsidRDefault="00D3004C" w:rsidP="006B5078">
      <w:pPr>
        <w:tabs>
          <w:tab w:val="left" w:pos="951"/>
        </w:tabs>
      </w:pPr>
      <w:proofErr w:type="gramStart"/>
      <w:r>
        <w:t>29:everything</w:t>
      </w:r>
      <w:proofErr w:type="gramEnd"/>
      <w:r>
        <w:t xml:space="preserve"> will have unexpected turns I got bored </w:t>
      </w:r>
    </w:p>
    <w:p w14:paraId="128EDB61" w14:textId="77777777" w:rsidR="00D3004C" w:rsidRDefault="00D3004C" w:rsidP="006B5078">
      <w:pPr>
        <w:tabs>
          <w:tab w:val="left" w:pos="951"/>
        </w:tabs>
      </w:pPr>
    </w:p>
    <w:p w14:paraId="70A81C4D" w14:textId="7C52AAC8" w:rsidR="00D3004C" w:rsidRPr="006B5078" w:rsidRDefault="00D3004C" w:rsidP="006B5078">
      <w:pPr>
        <w:tabs>
          <w:tab w:val="left" w:pos="951"/>
        </w:tabs>
      </w:pPr>
      <w:r>
        <w:t xml:space="preserve">wisest </w:t>
      </w:r>
    </w:p>
    <w:sectPr w:rsidR="00D3004C" w:rsidRPr="006B5078" w:rsidSect="00D62D3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B5"/>
    <w:rsid w:val="001C72A3"/>
    <w:rsid w:val="00207F6C"/>
    <w:rsid w:val="00243CA9"/>
    <w:rsid w:val="003B6CF4"/>
    <w:rsid w:val="00433927"/>
    <w:rsid w:val="00473193"/>
    <w:rsid w:val="00504F73"/>
    <w:rsid w:val="005B04E1"/>
    <w:rsid w:val="006B5078"/>
    <w:rsid w:val="00834000"/>
    <w:rsid w:val="00A65F11"/>
    <w:rsid w:val="00AA2287"/>
    <w:rsid w:val="00D25D85"/>
    <w:rsid w:val="00D3004C"/>
    <w:rsid w:val="00D62D3B"/>
    <w:rsid w:val="00E305B5"/>
    <w:rsid w:val="00EC0ADF"/>
    <w:rsid w:val="00F16E6D"/>
    <w:rsid w:val="00FA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E3CC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STOCK</a:t>
            </a:r>
            <a:r>
              <a:rPr lang="en-GB" baseline="0"/>
              <a:t> MARKET</a:t>
            </a:r>
            <a:endParaRPr lang="en-GB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OIL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111.0</c:v>
                </c:pt>
                <c:pt idx="1">
                  <c:v>114.0</c:v>
                </c:pt>
                <c:pt idx="2">
                  <c:v>118.0</c:v>
                </c:pt>
                <c:pt idx="3">
                  <c:v>100.0</c:v>
                </c:pt>
                <c:pt idx="4">
                  <c:v>121.0</c:v>
                </c:pt>
                <c:pt idx="5">
                  <c:v>125.0</c:v>
                </c:pt>
                <c:pt idx="6">
                  <c:v>101.0</c:v>
                </c:pt>
                <c:pt idx="7">
                  <c:v>80.0</c:v>
                </c:pt>
                <c:pt idx="8">
                  <c:v>85.0</c:v>
                </c:pt>
                <c:pt idx="9">
                  <c:v>100.0</c:v>
                </c:pt>
                <c:pt idx="10">
                  <c:v>95.0</c:v>
                </c:pt>
                <c:pt idx="11">
                  <c:v>105.0</c:v>
                </c:pt>
                <c:pt idx="12">
                  <c:v>127.0</c:v>
                </c:pt>
                <c:pt idx="13">
                  <c:v>147.0</c:v>
                </c:pt>
                <c:pt idx="14">
                  <c:v>132.0</c:v>
                </c:pt>
                <c:pt idx="15">
                  <c:v>123.0</c:v>
                </c:pt>
                <c:pt idx="16">
                  <c:v>150.0</c:v>
                </c:pt>
                <c:pt idx="17">
                  <c:v>175.0</c:v>
                </c:pt>
                <c:pt idx="18">
                  <c:v>180.0</c:v>
                </c:pt>
                <c:pt idx="19">
                  <c:v>178.0</c:v>
                </c:pt>
                <c:pt idx="20">
                  <c:v>160.0</c:v>
                </c:pt>
                <c:pt idx="21">
                  <c:v>155.0</c:v>
                </c:pt>
                <c:pt idx="22">
                  <c:v>165.0</c:v>
                </c:pt>
                <c:pt idx="23">
                  <c:v>147.0</c:v>
                </c:pt>
                <c:pt idx="24">
                  <c:v>157.0</c:v>
                </c:pt>
                <c:pt idx="25">
                  <c:v>104.0</c:v>
                </c:pt>
                <c:pt idx="26">
                  <c:v>141.0</c:v>
                </c:pt>
                <c:pt idx="27">
                  <c:v>139.0</c:v>
                </c:pt>
                <c:pt idx="28">
                  <c:v>120.0</c:v>
                </c:pt>
                <c:pt idx="29">
                  <c:v>180.0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FOOD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59.0</c:v>
                </c:pt>
                <c:pt idx="1">
                  <c:v>66.0</c:v>
                </c:pt>
                <c:pt idx="2">
                  <c:v>35.0</c:v>
                </c:pt>
                <c:pt idx="3">
                  <c:v>70.0</c:v>
                </c:pt>
                <c:pt idx="4">
                  <c:v>75.0</c:v>
                </c:pt>
                <c:pt idx="5">
                  <c:v>87.0</c:v>
                </c:pt>
                <c:pt idx="6">
                  <c:v>90.0</c:v>
                </c:pt>
                <c:pt idx="7">
                  <c:v>92.0</c:v>
                </c:pt>
                <c:pt idx="8">
                  <c:v>117.0</c:v>
                </c:pt>
                <c:pt idx="9">
                  <c:v>120.0</c:v>
                </c:pt>
                <c:pt idx="10">
                  <c:v>146.0</c:v>
                </c:pt>
                <c:pt idx="11">
                  <c:v>100.0</c:v>
                </c:pt>
                <c:pt idx="12">
                  <c:v>90.0</c:v>
                </c:pt>
                <c:pt idx="13">
                  <c:v>65.0</c:v>
                </c:pt>
                <c:pt idx="14">
                  <c:v>84.0</c:v>
                </c:pt>
                <c:pt idx="15">
                  <c:v>92.0</c:v>
                </c:pt>
                <c:pt idx="16">
                  <c:v>110.0</c:v>
                </c:pt>
                <c:pt idx="17">
                  <c:v>156.0</c:v>
                </c:pt>
                <c:pt idx="18">
                  <c:v>128.0</c:v>
                </c:pt>
                <c:pt idx="19">
                  <c:v>130.0</c:v>
                </c:pt>
                <c:pt idx="20">
                  <c:v>145.0</c:v>
                </c:pt>
                <c:pt idx="21">
                  <c:v>141.0</c:v>
                </c:pt>
                <c:pt idx="22">
                  <c:v>149.0</c:v>
                </c:pt>
                <c:pt idx="23">
                  <c:v>160.0</c:v>
                </c:pt>
                <c:pt idx="24">
                  <c:v>162.0</c:v>
                </c:pt>
                <c:pt idx="25">
                  <c:v>157.0</c:v>
                </c:pt>
                <c:pt idx="26">
                  <c:v>161.0</c:v>
                </c:pt>
                <c:pt idx="27">
                  <c:v>143.0</c:v>
                </c:pt>
                <c:pt idx="28">
                  <c:v>170.0</c:v>
                </c:pt>
                <c:pt idx="29">
                  <c:v>80.0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HOTELS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37.0</c:v>
                </c:pt>
                <c:pt idx="1">
                  <c:v>46.0</c:v>
                </c:pt>
                <c:pt idx="2">
                  <c:v>49.0</c:v>
                </c:pt>
                <c:pt idx="3">
                  <c:v>40.0</c:v>
                </c:pt>
                <c:pt idx="4">
                  <c:v>42.0</c:v>
                </c:pt>
                <c:pt idx="5">
                  <c:v>50.0</c:v>
                </c:pt>
                <c:pt idx="6">
                  <c:v>57.0</c:v>
                </c:pt>
                <c:pt idx="7">
                  <c:v>63.0</c:v>
                </c:pt>
                <c:pt idx="8">
                  <c:v>60.0</c:v>
                </c:pt>
                <c:pt idx="9">
                  <c:v>71.0</c:v>
                </c:pt>
                <c:pt idx="10">
                  <c:v>84.0</c:v>
                </c:pt>
                <c:pt idx="11">
                  <c:v>92.0</c:v>
                </c:pt>
                <c:pt idx="12">
                  <c:v>87.0</c:v>
                </c:pt>
                <c:pt idx="13">
                  <c:v>95.0</c:v>
                </c:pt>
                <c:pt idx="14">
                  <c:v>84.0</c:v>
                </c:pt>
                <c:pt idx="15">
                  <c:v>93.0</c:v>
                </c:pt>
                <c:pt idx="16">
                  <c:v>100.0</c:v>
                </c:pt>
                <c:pt idx="17">
                  <c:v>104.0</c:v>
                </c:pt>
                <c:pt idx="18">
                  <c:v>112.0</c:v>
                </c:pt>
                <c:pt idx="19">
                  <c:v>115.0</c:v>
                </c:pt>
                <c:pt idx="20">
                  <c:v>121.0</c:v>
                </c:pt>
                <c:pt idx="21">
                  <c:v>126.0</c:v>
                </c:pt>
                <c:pt idx="22">
                  <c:v>119.0</c:v>
                </c:pt>
                <c:pt idx="23">
                  <c:v>123.0</c:v>
                </c:pt>
                <c:pt idx="24">
                  <c:v>129.0</c:v>
                </c:pt>
                <c:pt idx="25">
                  <c:v>136.0</c:v>
                </c:pt>
                <c:pt idx="26">
                  <c:v>149.0</c:v>
                </c:pt>
                <c:pt idx="27">
                  <c:v>156.0</c:v>
                </c:pt>
                <c:pt idx="28">
                  <c:v>164.0</c:v>
                </c:pt>
                <c:pt idx="29">
                  <c:v>178.0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TECH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</c:numCache>
            </c:numRef>
          </c:cat>
          <c:val>
            <c:numRef>
              <c:f>Sheet1!$E$2:$E$31</c:f>
              <c:numCache>
                <c:formatCode>General</c:formatCode>
                <c:ptCount val="30"/>
                <c:pt idx="0">
                  <c:v>117.0</c:v>
                </c:pt>
                <c:pt idx="1">
                  <c:v>127.0</c:v>
                </c:pt>
                <c:pt idx="2">
                  <c:v>109.0</c:v>
                </c:pt>
                <c:pt idx="3">
                  <c:v>170.0</c:v>
                </c:pt>
                <c:pt idx="4">
                  <c:v>200.0</c:v>
                </c:pt>
                <c:pt idx="5">
                  <c:v>167.0</c:v>
                </c:pt>
                <c:pt idx="6">
                  <c:v>170.0</c:v>
                </c:pt>
                <c:pt idx="7">
                  <c:v>134.0</c:v>
                </c:pt>
                <c:pt idx="8">
                  <c:v>155.0</c:v>
                </c:pt>
                <c:pt idx="9">
                  <c:v>157.0</c:v>
                </c:pt>
                <c:pt idx="10">
                  <c:v>148.0</c:v>
                </c:pt>
                <c:pt idx="11">
                  <c:v>160.0</c:v>
                </c:pt>
                <c:pt idx="12">
                  <c:v>186.0</c:v>
                </c:pt>
                <c:pt idx="13">
                  <c:v>192.0</c:v>
                </c:pt>
                <c:pt idx="14">
                  <c:v>133.0</c:v>
                </c:pt>
                <c:pt idx="15">
                  <c:v>123.0</c:v>
                </c:pt>
                <c:pt idx="16">
                  <c:v>90.0</c:v>
                </c:pt>
                <c:pt idx="17">
                  <c:v>124.0</c:v>
                </c:pt>
                <c:pt idx="18">
                  <c:v>136.0</c:v>
                </c:pt>
                <c:pt idx="19">
                  <c:v>100.0</c:v>
                </c:pt>
                <c:pt idx="20">
                  <c:v>147.0</c:v>
                </c:pt>
                <c:pt idx="21">
                  <c:v>158.0</c:v>
                </c:pt>
                <c:pt idx="22">
                  <c:v>163.0</c:v>
                </c:pt>
                <c:pt idx="23">
                  <c:v>190.0</c:v>
                </c:pt>
                <c:pt idx="24">
                  <c:v>182.0</c:v>
                </c:pt>
                <c:pt idx="25">
                  <c:v>138.0</c:v>
                </c:pt>
                <c:pt idx="26">
                  <c:v>159.0</c:v>
                </c:pt>
                <c:pt idx="27">
                  <c:v>164.0</c:v>
                </c:pt>
                <c:pt idx="28">
                  <c:v>116.0</c:v>
                </c:pt>
                <c:pt idx="29">
                  <c:v>168.0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HEALTH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</c:numCache>
            </c:numRef>
          </c:cat>
          <c:val>
            <c:numRef>
              <c:f>Sheet1!$F$2:$F$31</c:f>
              <c:numCache>
                <c:formatCode>General</c:formatCode>
                <c:ptCount val="30"/>
                <c:pt idx="0">
                  <c:v>185.0</c:v>
                </c:pt>
                <c:pt idx="1">
                  <c:v>163.0</c:v>
                </c:pt>
                <c:pt idx="2">
                  <c:v>134.0</c:v>
                </c:pt>
                <c:pt idx="3">
                  <c:v>122.0</c:v>
                </c:pt>
                <c:pt idx="4">
                  <c:v>115.0</c:v>
                </c:pt>
                <c:pt idx="5">
                  <c:v>126.0</c:v>
                </c:pt>
                <c:pt idx="6">
                  <c:v>137.0</c:v>
                </c:pt>
                <c:pt idx="7">
                  <c:v>100.0</c:v>
                </c:pt>
                <c:pt idx="8">
                  <c:v>97.0</c:v>
                </c:pt>
                <c:pt idx="9">
                  <c:v>94.0</c:v>
                </c:pt>
                <c:pt idx="10">
                  <c:v>90.0</c:v>
                </c:pt>
                <c:pt idx="11">
                  <c:v>93.0</c:v>
                </c:pt>
                <c:pt idx="12">
                  <c:v>97.0</c:v>
                </c:pt>
                <c:pt idx="13">
                  <c:v>92.0</c:v>
                </c:pt>
                <c:pt idx="14">
                  <c:v>84.0</c:v>
                </c:pt>
                <c:pt idx="15">
                  <c:v>80.0</c:v>
                </c:pt>
                <c:pt idx="16">
                  <c:v>87.0</c:v>
                </c:pt>
                <c:pt idx="17">
                  <c:v>84.0</c:v>
                </c:pt>
                <c:pt idx="18">
                  <c:v>79.0</c:v>
                </c:pt>
                <c:pt idx="19">
                  <c:v>90.0</c:v>
                </c:pt>
                <c:pt idx="20">
                  <c:v>114.0</c:v>
                </c:pt>
                <c:pt idx="21">
                  <c:v>120.0</c:v>
                </c:pt>
                <c:pt idx="22">
                  <c:v>126.0</c:v>
                </c:pt>
                <c:pt idx="23">
                  <c:v>110.0</c:v>
                </c:pt>
                <c:pt idx="24">
                  <c:v>93.0</c:v>
                </c:pt>
                <c:pt idx="25">
                  <c:v>82.0</c:v>
                </c:pt>
                <c:pt idx="26">
                  <c:v>74.0</c:v>
                </c:pt>
                <c:pt idx="27">
                  <c:v>66.0</c:v>
                </c:pt>
                <c:pt idx="28">
                  <c:v>70.0</c:v>
                </c:pt>
                <c:pt idx="29">
                  <c:v>30.0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</c:numCache>
            </c:numRef>
          </c:cat>
          <c:val>
            <c:numRef>
              <c:f>Sheet1!$G$2:$G$31</c:f>
              <c:numCache>
                <c:formatCode>General</c:formatCode>
                <c:ptCount val="30"/>
                <c:pt idx="0">
                  <c:v>148.0</c:v>
                </c:pt>
                <c:pt idx="1">
                  <c:v>164.0</c:v>
                </c:pt>
                <c:pt idx="2">
                  <c:v>101.0</c:v>
                </c:pt>
                <c:pt idx="3">
                  <c:v>173.0</c:v>
                </c:pt>
                <c:pt idx="4">
                  <c:v>102.0</c:v>
                </c:pt>
                <c:pt idx="5">
                  <c:v>145.0</c:v>
                </c:pt>
                <c:pt idx="6">
                  <c:v>137.0</c:v>
                </c:pt>
                <c:pt idx="7">
                  <c:v>171.0</c:v>
                </c:pt>
                <c:pt idx="8">
                  <c:v>101.0</c:v>
                </c:pt>
                <c:pt idx="9">
                  <c:v>94.0</c:v>
                </c:pt>
                <c:pt idx="10">
                  <c:v>98.0</c:v>
                </c:pt>
                <c:pt idx="11">
                  <c:v>77.0</c:v>
                </c:pt>
                <c:pt idx="12">
                  <c:v>74.0</c:v>
                </c:pt>
                <c:pt idx="13">
                  <c:v>54.0</c:v>
                </c:pt>
                <c:pt idx="14">
                  <c:v>84.0</c:v>
                </c:pt>
                <c:pt idx="15">
                  <c:v>107.0</c:v>
                </c:pt>
                <c:pt idx="16">
                  <c:v>99.0</c:v>
                </c:pt>
                <c:pt idx="17">
                  <c:v>82.0</c:v>
                </c:pt>
                <c:pt idx="18">
                  <c:v>79.0</c:v>
                </c:pt>
                <c:pt idx="19">
                  <c:v>91.0</c:v>
                </c:pt>
                <c:pt idx="20">
                  <c:v>115.0</c:v>
                </c:pt>
                <c:pt idx="21">
                  <c:v>170.0</c:v>
                </c:pt>
                <c:pt idx="22">
                  <c:v>167.0</c:v>
                </c:pt>
                <c:pt idx="23">
                  <c:v>125.0</c:v>
                </c:pt>
                <c:pt idx="24">
                  <c:v>93.0</c:v>
                </c:pt>
                <c:pt idx="25">
                  <c:v>58.0</c:v>
                </c:pt>
                <c:pt idx="26">
                  <c:v>72.0</c:v>
                </c:pt>
                <c:pt idx="27">
                  <c:v>91.0</c:v>
                </c:pt>
                <c:pt idx="28">
                  <c:v>78.0</c:v>
                </c:pt>
                <c:pt idx="29">
                  <c:v>174.0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25176112"/>
        <c:axId val="1825177472"/>
      </c:lineChart>
      <c:catAx>
        <c:axId val="182517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825177472"/>
        <c:crosses val="autoZero"/>
        <c:auto val="1"/>
        <c:lblAlgn val="ctr"/>
        <c:lblOffset val="100"/>
        <c:noMultiLvlLbl val="0"/>
      </c:catAx>
      <c:valAx>
        <c:axId val="182517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82517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2017-12-12T19:34:00Z</dcterms:created>
  <dcterms:modified xsi:type="dcterms:W3CDTF">2017-12-16T12:09:00Z</dcterms:modified>
</cp:coreProperties>
</file>