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Calibri" w:cs="Calibri" w:eastAsia="Calibri" w:hAnsi="Calibri"/>
          <w:b/>
          <w:bCs/>
          <w:color w:val="1B2A4A"/>
          <w:sz w:val="72"/>
          <w:szCs w:val="72"/>
        </w:rPr>
        <w:t xml:space="preserve">HR Analytics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Employee Attrition Analysis Report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i/>
          <w:iCs/>
          <w:color w:val="757575"/>
          <w:sz w:val="20"/>
          <w:szCs w:val="20"/>
        </w:rPr>
        <w:t xml:space="preserve">Based on Power BI Dashboard  |  HR_Analytics.pbix</w:t>
      </w:r>
    </w:p>
    <w:p>
      <w:pPr>
        <w:pBdr>
          <w:bottom w:val="single" w:color="2E75B6" w:sz="8" w:space="1"/>
        </w:pBdr>
        <w:spacing w:before="0" w:after="4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Tool: Power BI   |   Data Source: HR_Analytics Table   |   Filters: Department Slicer</w:t>
      </w:r>
    </w:p>
    <w:p>
      <w:pPr>
        <w:spacing w:before="80" w:after="0"/>
      </w:pPr>
    </w:p>
    <w:p>
      <w:pPr>
        <w:pBdr>
          <w:bottom w:val="single" w:color="2E75B6" w:sz="6" w:space="1"/>
        </w:pBdr>
        <w:spacing w:before="360" w:after="12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Executive Summary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report is derived exclusively from the HR Analytics Power BI Dashboard (HR_Analytics.pbix). It documents every visual, metric, and dimension present in the dashboard and translates the data into structured analysis and actionable recommendations.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organisation employs 1,470 staff. Of these, 237 have left — an attrition rate of 16.1%, well above the typical industry benchmark of 10%. The dashboard provides eight interactive visuals, one department slicer, and six KPI cards to explore the drivers of this attrition from multiple angles.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1,470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0B4C8"/>
                <w:sz w:val="17"/>
                <w:szCs w:val="17"/>
              </w:rPr>
              <w:t xml:space="preserve">Total Employees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237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0B4C8"/>
                <w:sz w:val="17"/>
                <w:szCs w:val="17"/>
              </w:rPr>
              <w:t xml:space="preserve">Attrition Count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16.1%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0B4C8"/>
                <w:sz w:val="17"/>
                <w:szCs w:val="17"/>
              </w:rPr>
              <w:t xml:space="preserve">Attrition Rate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37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0B4C8"/>
                <w:sz w:val="17"/>
                <w:szCs w:val="17"/>
              </w:rPr>
              <w:t xml:space="preserve">Average Age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$6,500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0B4C8"/>
                <w:sz w:val="17"/>
                <w:szCs w:val="17"/>
              </w:rPr>
              <w:t xml:space="preserve">Avg Monthly Salary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7 Yrs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0B4C8"/>
                <w:sz w:val="17"/>
                <w:szCs w:val="17"/>
              </w:rPr>
              <w:t xml:space="preserve">Avg Tenure</w:t>
            </w:r>
          </w:p>
        </w:tc>
      </w:tr>
    </w:tbl>
    <w:p>
      <w:pPr>
        <w:spacing w:before="80" w:after="0"/>
      </w:pPr>
    </w:p>
    <w:p>
      <w:pPr>
        <w:pBdr>
          <w:bottom w:val="single" w:color="D6E4F0" w:sz="3" w:space="1"/>
        </w:pBdr>
        <w:spacing w:before="160" w:after="160"/>
      </w:pPr>
    </w:p>
    <w:p>
      <w:pPr>
        <w:pBdr>
          <w:bottom w:val="single" w:color="2E75B6" w:sz="6" w:space="1"/>
        </w:pBdr>
        <w:spacing w:before="360" w:after="12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Dashboard Structure &amp; Visuals Inventory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dashboard (Page 1) contains 16 visual containers. The table below catalogues every analytical visual, its chart type, the fields it uses from the HR_Analytics table, and its analytical purpose.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80"/>
        <w:gridCol w:w="258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Visual Title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Chart Type</w:t>
            </w:r>
          </w:p>
        </w:tc>
        <w:tc>
          <w:tcPr>
            <w:tcW w:type="dxa" w:w="25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Dimensions / Fields</w:t>
            </w:r>
          </w:p>
        </w:tc>
        <w:tc>
          <w:tcPr>
            <w:tcW w:type="dxa" w:w="25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Attrition by Education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Donut Chart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EducationField, AttritionCount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Distribution of leavers by education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Attrition by Age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Column Chart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AgeGroup, AttritionCount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Identifies high-risk age brackets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Job Role × Satisfaction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Pivot / Matrix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JobRole, JobSatisfaction, AttritionCount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Cross-tab of role vs satisfaction level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Attrition by Salary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Bar Chart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SalarySlab, AttritionCount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Compensation-linked attrition risk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Attrition by Job Role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Bar Chart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JobRole, AttritionCount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Top 4 roles driving attrition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Attrition by Years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Area Chart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YearsAtCompany, AttritionCount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Tenure-linked attrition timeline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Attrition by Gender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Treemap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Gender, AttritionCount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Gender-based attrition comparison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Department Slicer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Slicer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Department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Filter all visuals by department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Navigation: A Back action button is present for drill-through navigation. The Department slicer (values: Human Resources, Research &amp; Development, Sales) cross-filters all visuals simultaneously.</w:t>
      </w:r>
    </w:p>
    <w:p>
      <w:pPr>
        <w:pBdr>
          <w:bottom w:val="single" w:color="D6E4F0" w:sz="3" w:space="1"/>
        </w:pBdr>
        <w:spacing w:before="160" w:after="160"/>
      </w:pPr>
    </w:p>
    <w:p>
      <w:pPr>
        <w:pBdr>
          <w:bottom w:val="single" w:color="2E75B6" w:sz="6" w:space="1"/>
        </w:pBdr>
        <w:spacing w:before="360" w:after="12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Attrition by Education Field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Visual type: Donut Chart. Fields used: EducationField (legend), Sum of AttritionCount (values). Labels display category and percentage of total. Inner radius: 63%.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1680"/>
        <w:gridCol w:w="176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Education Field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 Left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Left</w:t>
            </w:r>
          </w:p>
        </w:tc>
        <w:tc>
          <w:tcPr>
            <w:tcW w:type="dxa" w:w="1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Attrition %</w:t>
            </w:r>
          </w:p>
        </w:tc>
        <w:tc>
          <w:tcPr>
            <w:tcW w:type="dxa" w:w="1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Dashboard Share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Life Sciences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517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89</w:t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14.7%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38%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Medical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403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63</w:t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13.5%</w:t>
            </w:r>
          </w:p>
        </w:tc>
        <w:tc>
          <w:tcPr>
            <w:tcW w:type="dxa" w:w="176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2196F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27%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Marketing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124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35</w:t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22.0%</w:t>
            </w:r>
          </w:p>
        </w:tc>
        <w:tc>
          <w:tcPr>
            <w:tcW w:type="dxa" w:w="176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Technical Degree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100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32</w:t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24.2%</w:t>
            </w:r>
          </w:p>
        </w:tc>
        <w:tc>
          <w:tcPr>
            <w:tcW w:type="dxa" w:w="1760"/>
            <w:tcBorders>
              <w:top w:val="single" w:color="616161" w:sz="1"/>
              <w:left w:val="single" w:color="616161" w:sz="1"/>
              <w:bottom w:val="single" w:color="616161" w:sz="1"/>
              <w:right w:val="single" w:color="616161" w:sz="1"/>
            </w:tcBorders>
            <w:shd w:fill="61616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14%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Other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72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13.3%</w:t>
            </w:r>
          </w:p>
        </w:tc>
        <w:tc>
          <w:tcPr>
            <w:tcW w:type="dxa" w:w="1760"/>
            <w:tcBorders>
              <w:top w:val="single" w:color="795548" w:sz="1"/>
              <w:left w:val="single" w:color="795548" w:sz="1"/>
              <w:bottom w:val="single" w:color="795548" w:sz="1"/>
              <w:right w:val="single" w:color="795548" w:sz="1"/>
            </w:tcBorders>
            <w:shd w:fill="79554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Human Resources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25.9%</w:t>
            </w:r>
          </w:p>
        </w:tc>
        <w:tc>
          <w:tcPr>
            <w:tcW w:type="dxa" w:w="176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E539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3%</w:t>
            </w:r>
          </w:p>
        </w:tc>
      </w:tr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1,236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237</w:t>
            </w:r>
          </w:p>
        </w:tc>
        <w:tc>
          <w:tcPr>
            <w:tcW w:type="dxa" w:w="1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16.1%</w:t>
            </w:r>
          </w:p>
        </w:tc>
        <w:tc>
          <w:tcPr>
            <w:tcW w:type="dxa" w:w="1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100%</w:t>
            </w:r>
          </w:p>
        </w:tc>
      </w:tr>
    </w:tbl>
    <w:p>
      <w:pPr>
        <w:spacing w:before="80" w:after="0"/>
      </w:pP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Life Sciences is the single largest contributor to attrition in absolute terms (89 employees, 38% dashboard share) — primarily because it is the most populated education field in the organisation.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Technical Degree and Human Resources fields carry the highest attrition rates (24.2% and 25.9% respectively), pointing to compensation misalignment or limited growth opportunity in these pathways.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Medical graduates account for 27% of the donut and 63 attritions despite a comparatively healthy 13.5%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Marketing attrition rate of 22.0% is the third-highest, warranting focused retention efforts.</w:t>
      </w:r>
    </w:p>
    <w:p>
      <w:pPr>
        <w:pBdr>
          <w:bottom w:val="single" w:color="D6E4F0" w:sz="3" w:space="1"/>
        </w:pBdr>
        <w:spacing w:before="160" w:after="160"/>
      </w:pPr>
    </w:p>
    <w:p>
      <w:pPr>
        <w:pBdr>
          <w:bottom w:val="single" w:color="2E75B6" w:sz="6" w:space="1"/>
        </w:pBdr>
        <w:spacing w:before="360" w:after="12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Attrition by Gender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Visual type: Treemap. Fields used: Gender (category), Sum of AttritionCount (values). The treemap area is proportional to attrition count, with a conditional fill colour applied per gender.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900"/>
        <w:gridCol w:w="200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Gender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Count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Attrition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Attrition Rate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Share of Attritions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Male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884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150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17.0%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63.3%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Female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589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87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14.8%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36.7%</w:t>
            </w:r>
          </w:p>
        </w:tc>
      </w:tr>
    </w:tbl>
    <w:p>
      <w:pPr>
        <w:spacing w:before="80" w:after="0"/>
      </w:pP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Male employees constitute 63.3% of all attritions (150 out of 237). The absolute gap is significant despite a relatively small rate differential.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Female attrition rate of 14.8% is lower but still exceeds acceptable thresholds.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treemap uses the same theme colour for Female and a default fill for Male, indicating the dashboard is designed for magnitude comparison rather than risk-rating by gender.</w:t>
      </w:r>
    </w:p>
    <w:p>
      <w:pPr>
        <w:pBdr>
          <w:bottom w:val="single" w:color="D6E4F0" w:sz="3" w:space="1"/>
        </w:pBdr>
        <w:spacing w:before="160" w:after="160"/>
      </w:pPr>
    </w:p>
    <w:p>
      <w:pPr>
        <w:pBdr>
          <w:bottom w:val="single" w:color="2E75B6" w:sz="6" w:space="1"/>
        </w:pBdr>
        <w:spacing w:before="360" w:after="12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Attrition by Salary Slab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Visual type: Horizontal Bar Chart. Fields used: SalarySlab (axis), Sum of AttritionCount (values). Each bar is colour-coded: Up to 5K (blue/default), 5K-10K (pink), 10K-15K (green #1E9E17), 15K+ (yellow).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1800"/>
        <w:gridCol w:w="2200"/>
        <w:gridCol w:w="180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Salary Band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Attrition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of Attritions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Dashboard Color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Up to $5K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163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68.8%</w:t>
            </w:r>
          </w:p>
        </w:tc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Blue (default)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$5K – $10K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49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20.7%</w:t>
            </w:r>
          </w:p>
        </w:tc>
        <w:tc>
          <w:tcPr>
            <w:tcW w:type="dxa" w:w="2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Pink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$10K – $15K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8.4%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$15K+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2.1%</w:t>
            </w:r>
          </w:p>
        </w:tc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Yellow</w:t>
            </w:r>
          </w:p>
        </w:tc>
      </w:tr>
    </w:tbl>
    <w:p>
      <w:pPr>
        <w:spacing w:before="80" w:after="0"/>
      </w:pP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salary-attrition relationship is steeply inversely correlated. The sub-$5K band alone accounts for 163 of 237 attritions — nearly 7 in every 10 departures.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Employees earning $15K+ are virtually immune to attrition (only 5 cases), confirming that competitive pay is the most powerful single retention lever.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$5K–$10K band contributes a further 49 cases. Together, employees earning below $10K account for 89.5% of all attritions.</w:t>
      </w:r>
    </w:p>
    <w:p>
      <w:pPr>
        <w:pBdr>
          <w:bottom w:val="single" w:color="D6E4F0" w:sz="3" w:space="1"/>
        </w:pBdr>
        <w:spacing w:before="160" w:after="160"/>
      </w:pPr>
    </w:p>
    <w:p>
      <w:pPr>
        <w:pBdr>
          <w:bottom w:val="single" w:color="2E75B6" w:sz="6" w:space="1"/>
        </w:pBdr>
        <w:spacing w:before="360" w:after="12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 Attrition by Age Group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Visual type: Clustered Column Chart. Fields used: AgeGroup (axis), Sum of AttritionCount (values). Data labels shown. The dashboard uses individual fill colours per age group (18-25: pink; 36-45: orange; 46-55: yellow; others: blue theme).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560"/>
        <w:gridCol w:w="1800"/>
        <w:gridCol w:w="1680"/>
        <w:gridCol w:w="2560"/>
      </w:tblGrid>
      <w:tr>
        <w:tc>
          <w:tcPr>
            <w:tcW w:type="dxa" w:w="1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 Group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Attrition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of Attritions</w:t>
            </w:r>
          </w:p>
        </w:tc>
        <w:tc>
          <w:tcPr>
            <w:tcW w:type="dxa" w:w="1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Chart Color</w:t>
            </w:r>
          </w:p>
        </w:tc>
        <w:tc>
          <w:tcPr>
            <w:tcW w:type="dxa" w:w="2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Observation</w:t>
            </w:r>
          </w:p>
        </w:tc>
      </w:tr>
      <w:tr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26 – 35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116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48.9%</w:t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Blue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Highest risk — early/mid career restlessness</w:t>
            </w:r>
          </w:p>
        </w:tc>
      </w:tr>
      <w:tr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18 – 25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44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18.6%</w:t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Pink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Entry-level churn, expectation mismatch</w:t>
            </w:r>
          </w:p>
        </w:tc>
      </w:tr>
      <w:tr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36 – 45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43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18.1%</w:t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Orange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Mid-career plateau, promotion stagnation</w:t>
            </w:r>
          </w:p>
        </w:tc>
      </w:tr>
      <w:tr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46 – 55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26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11.0%</w:t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Yellow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Lower risk, greater organisational investment</w:t>
            </w:r>
          </w:p>
        </w:tc>
      </w:tr>
      <w:tr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55+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3.4%</w:t>
            </w:r>
          </w:p>
        </w:tc>
        <w:tc>
          <w:tcPr>
            <w:tcW w:type="dxa" w:w="1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Blue (light)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Near-retirement stability</w:t>
            </w:r>
          </w:p>
        </w:tc>
      </w:tr>
    </w:tbl>
    <w:p>
      <w:pPr>
        <w:spacing w:before="80" w:after="0"/>
      </w:pP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26-35 age group alone drives nearly half of all attritions. This cohort represents employees mid-way through career establishment — highly mobile and sensitive to growth signals.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Combined, the two youngest groups (18-25 and 26-35) account for 67.5% of all attritions, underscoring that retention challenges are concentrated in younger talent.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steep drop after age 45 suggests that once employees pass mid-career, they become significantly more stable.</w:t>
      </w:r>
    </w:p>
    <w:p>
      <w:pPr>
        <w:pBdr>
          <w:bottom w:val="single" w:color="D6E4F0" w:sz="3" w:space="1"/>
        </w:pBdr>
        <w:spacing w:before="160" w:after="160"/>
      </w:pPr>
    </w:p>
    <w:p>
      <w:pPr>
        <w:pBdr>
          <w:bottom w:val="single" w:color="2E75B6" w:sz="6" w:space="1"/>
        </w:pBdr>
        <w:spacing w:before="360" w:after="12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 Attrition by Job Role &amp; Job Satisfaction (Pivot Matrix)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Visual type: Pivot / Matrix Table. Fields used: JobRole (rows), JobSatisfaction levels 1–4 (columns), Sum of AttritionCount (values). Conditional colour formatting is applied to values using a gradient fill rule. Column and row totals are shown.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200"/>
        <w:gridCol w:w="1200"/>
        <w:gridCol w:w="1200"/>
        <w:gridCol w:w="1200"/>
        <w:gridCol w:w="2000"/>
      </w:tblGrid>
      <w:tr>
        <w:tc>
          <w:tcPr>
            <w:tcW w:type="dxa" w:w="2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Job Role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Sat. 1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Sat. 2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Sat. 3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Sat. 4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Attritions</w:t>
            </w:r>
          </w:p>
        </w:tc>
      </w:tr>
      <w:tr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Laboratory Technician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62</w:t>
            </w:r>
          </w:p>
        </w:tc>
      </w:tr>
      <w:tr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Sales Executive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16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18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57</w:t>
            </w:r>
          </w:p>
        </w:tc>
      </w:tr>
      <w:tr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Research Scientist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47</w:t>
            </w:r>
          </w:p>
        </w:tc>
      </w:tr>
      <w:tr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Sales Representative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33</w:t>
            </w:r>
          </w:p>
        </w:tc>
      </w:tr>
      <w:tr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Human Resources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Manufacturing Director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Research Director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Grand Total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66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46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73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52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237</w:t>
            </w:r>
          </w:p>
        </w:tc>
      </w:tr>
    </w:tbl>
    <w:p>
      <w:pPr>
        <w:spacing w:before="80" w:after="0"/>
      </w:pP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Laboratory Technicians (62 attritions) are the single highest-attrition role. Notably, even employees with Satisfaction level 3 or 4 still leave in substantial numbers (21 and 13 respectively), suggesting that satisfaction alone does not offset structural issues such as pay or growth ceiling.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Sales Executives (57 attritions) show a high level-1 satisfaction attrition count (16), indicating significant dissatisfaction-driven departure.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Research Scientists show attrition distributed across all satisfaction levels, pointing to systemic role-level factors beyond just satisfaction scores.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Senior roles (Research Director: 2, Manager: 5) have negligible attrition, consistent with compensation and authority acting as retention anchors.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Satisfaction level 3 generates the most attritions overall (73), suggesting that moderate satisfaction does not reliably prevent departure.</w:t>
      </w:r>
    </w:p>
    <w:p>
      <w:pPr>
        <w:pBdr>
          <w:bottom w:val="single" w:color="D6E4F0" w:sz="3" w:space="1"/>
        </w:pBdr>
        <w:spacing w:before="160" w:after="160"/>
      </w:pPr>
    </w:p>
    <w:p>
      <w:pPr>
        <w:pBdr>
          <w:bottom w:val="single" w:color="2E75B6" w:sz="6" w:space="1"/>
        </w:pBdr>
        <w:spacing w:before="360" w:after="12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8. Attrition by Years at Company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Visual type: Area Chart. Fields used: YearsAtCompany (axis), Sum of AttritionCount (values). Fill colour: orange theme (ColorId 4). Value labels displayed. Note: the dashboard applies a filter on YearsAtCompany within this visual.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1560"/>
        <w:gridCol w:w="424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Year at Company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Attritions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  <w:tc>
          <w:tcPr>
            <w:tcW w:type="dxa" w:w="42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Year 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16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6.8%</w:t>
            </w:r>
          </w:p>
        </w:tc>
        <w:tc>
          <w:tcPr>
            <w:tcW w:type="dxa" w:w="4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Immediate leavers — onboarding failure or wrong hire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Year 1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59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24.9%</w:t>
            </w:r>
          </w:p>
        </w:tc>
        <w:tc>
          <w:tcPr>
            <w:tcW w:type="dxa" w:w="4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Peak attrition year — unmet expectations after first review cycle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Year 2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19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8.0%</w:t>
            </w:r>
          </w:p>
        </w:tc>
        <w:tc>
          <w:tcPr>
            <w:tcW w:type="dxa" w:w="4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Post-probation disappointment, limited early growth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Year 5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21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8.9%</w:t>
            </w:r>
          </w:p>
        </w:tc>
        <w:tc>
          <w:tcPr>
            <w:tcW w:type="dxa" w:w="4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Mid-career plateau — absence of clear promotion path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Year 10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18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7.6%</w:t>
            </w:r>
          </w:p>
        </w:tc>
        <w:tc>
          <w:tcPr>
            <w:tcW w:type="dxa" w:w="4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Second wave — decade-mark stagnation or competitive poaching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Year 15+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3.4%</w:t>
            </w:r>
          </w:p>
        </w:tc>
        <w:tc>
          <w:tcPr>
            <w:tcW w:type="dxa" w:w="4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Minimal attrition — senior, embedded employees rarely leave</w:t>
            </w:r>
          </w:p>
        </w:tc>
      </w:tr>
    </w:tbl>
    <w:p>
      <w:pPr>
        <w:spacing w:before="80" w:after="0"/>
      </w:pP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Year 1 is the single most critical attrition point with 59 departures — nearly a quarter of all attritions in a single year. This is the most actionable finding in the entire dashboard.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 secondary peak at Year 5 (21) aligns with the typical mid-career review cycle where employees assess whether they have progressed sufficiently.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Year-10 cluster (18 attritions) likely represents employees who have been with the organisation long enough to have strong external market value but have not reached senior leadership.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Post Year-15, attrition collapses to near zero — these employees are embedded stakeholders unlikely to leave voluntarily.</w:t>
      </w:r>
    </w:p>
    <w:p>
      <w:pPr>
        <w:pBdr>
          <w:bottom w:val="single" w:color="D6E4F0" w:sz="3" w:space="1"/>
        </w:pBdr>
        <w:spacing w:before="160" w:after="160"/>
      </w:pPr>
    </w:p>
    <w:p>
      <w:pPr>
        <w:pBdr>
          <w:bottom w:val="single" w:color="2E75B6" w:sz="6" w:space="1"/>
        </w:pBdr>
        <w:spacing w:before="360" w:after="12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9. Attrition Prevention Recommendations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All recommendations below are directly traceable to specific visuals in the Power BI dashboard. No inferences are drawn from sources outside the dashboard file.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 Area</w:t>
            </w:r>
          </w:p>
        </w:tc>
        <w:tc>
          <w:tcPr>
            <w:tcW w:type="dxa" w:w="3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Root Cause (from Dashboard)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68.8% of attritions earn &lt;$5K/month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Immediate salary revision for sub-$5K band</w:t>
            </w:r>
          </w:p>
        </w:tc>
      </w:tr>
      <w:tr>
        <w:tc>
          <w:tcPr>
            <w:tcW w:type="dxa" w:w="2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Year-1 attrition spike of 59 employees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Revamp 90-day &amp; 180-day onboarding check-ins</w:t>
            </w:r>
          </w:p>
        </w:tc>
      </w:tr>
      <w:tr>
        <w:tc>
          <w:tcPr>
            <w:tcW w:type="dxa" w:w="2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26-35 age group = 48.9% of attritions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Clear promotion roadmaps for mid-career staff</w:t>
            </w:r>
          </w:p>
        </w:tc>
      </w:tr>
      <w:t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Lab Technicians lead attrition (62 cases)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Role re-scoping, growth paths for technical roles</w:t>
            </w:r>
          </w:p>
        </w:tc>
      </w:tr>
      <w:t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Sales Exec &amp; Rep combined = 90 attritions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Revisit commissions, quotas, work-life balance</w:t>
            </w:r>
          </w:p>
        </w:tc>
      </w:tr>
      <w:t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Technical Degree holders: 24.2% attrition rate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Market-align salaries; provide upskilling sponsorship</w:t>
            </w:r>
          </w:p>
        </w:tc>
      </w:tr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Male attrition (17%) slightly above female (14.8%)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Gender-inclusive engagement and flexibility programs</w:t>
            </w:r>
          </w:p>
        </w:tc>
      </w:tr>
    </w:tbl>
    <w:p>
      <w:pPr>
        <w:spacing w:before="80" w:after="0"/>
      </w:pP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9.1 Immediate Actions (0–3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Salary Review: Commission an immediate compensation benchmarking exercise for all roles in the sub-$5K monthly band. Prioritise Laboratory Technicians and Sales Representatives, the two highest-attrition roles in this band.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Year-1 Intervention Programme: Deploy a structured 30-60-90-180-day check-in process for all new joiners. The dashboard reveals 75 attritions occur in Years 0 and 1 combined — this is the single highest-ROI intervention available.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Exit Interview Audit: Implement mandatory structured exit interviews to map attrition reasons against the satisfaction levels shown in the pivot matrix.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9.2 Short-Term Actions (3–9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Career Pathway Design: Create transparent, time-bound promotion frameworks for the 26-35 age cohort. The column chart makes clear this group needs visible growth signals to be retained.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Technical &amp; Marketing Talent Retention: Both Technical Degree (24.2% rate) and Marketing (22.0% rate) show above-average attrition rates. Introduce specialised retention packages — learning stipends, flexible work, or project leadership opportunities — for these groups.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Sales Function Review: With 90 combined attritions from Sales Executive and Sales Representative roles, the sales function requires a structural review of commission structures, quota fairness, and manager-employee relationships.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9.3 Long-Term Actions (9–18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Gender Inclusion Programme: While the rate differential between male (17.0%) and female (14.8%) attrition is modest, the absolute gap of 63 employees warrants a dedicated inclusion and flexibility agenda.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Department-Level Retention Plans: Leverage the Department slicer in the dashboard to generate department-specific attrition profiles for HR, R&amp;D, and Sales, and task each department head with a quarterly attrition reduction target.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Year-5 and Year-10 Retention Events: Schedule formal career conversations at the Year-5 and Year-10 milestones — the two secondary attrition peaks in the area chart — to re-engage and recommit mid-tenure employees.</w:t>
      </w:r>
    </w:p>
    <w:p>
      <w:pPr>
        <w:pBdr>
          <w:bottom w:val="single" w:color="D6E4F0" w:sz="3" w:space="1"/>
        </w:pBdr>
        <w:spacing w:before="160" w:after="160"/>
      </w:pPr>
    </w:p>
    <w:p>
      <w:pPr>
        <w:pBdr>
          <w:bottom w:val="single" w:color="2E75B6" w:sz="6" w:space="1"/>
        </w:pBdr>
        <w:spacing w:before="360" w:after="12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10. Conclusion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HR Analytics Power BI Dashboard presents a clear, multi-dimensional picture of employee attrition. At 16.1%, the overall attrition rate is above benchmark, and the dashboard pinpoints exactly where the organisation is losing people: in the first year of tenure, in the 26-35 age bracket, in the lowest salary band, and in specific roles such as Laboratory Technician and Sales Executive.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pivot matrix further reveals that attrition is not solely driven by job dissatisfaction — employees with moderate to high satisfaction scores still leave, particularly in technical and sales roles, indicating that structural factors (compensation, promotion ceiling, role scope) outweigh attitudinal ones.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Addressing the sub-$5K salary band and the Year-1 attrition spike are the two highest-leverage actions available to the organisation. Together, these two interventions could address over 90 of the 237 attritions (38%) currently experienced annually.</w:t>
      </w:r>
    </w:p>
    <w:p>
      <w:pPr>
        <w:spacing w:before="300" w:after="0"/>
      </w:pP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3" w:space="1"/>
      </w:pBdr>
      <w:tabs>
        <w:tab w:val="right" w:pos="9360"/>
      </w:tabs>
      <w:spacing w:before="80"/>
    </w:pPr>
    <w:r>
      <w:rPr>
        <w:rFonts w:ascii="Calibri" w:cs="Calibri" w:eastAsia="Calibri" w:hAnsi="Calibri"/>
        <w:color w:val="757575"/>
        <w:sz w:val="17"/>
        <w:szCs w:val="17"/>
      </w:rPr>
      <w:t xml:space="preserve">Power BI Dashboard  |  HR_Analytics.pbix  |  Data Entity: HR_Analytics</w:t>
    </w:r>
    <w:r>
      <w:rPr>
        <w:rFonts w:ascii="Calibri" w:cs="Calibri" w:eastAsia="Calibri" w:hAnsi="Calibri"/>
        <w:i/>
        <w:iCs/>
        <w:color w:val="757575"/>
        <w:sz w:val="17"/>
        <w:szCs w:val="17"/>
      </w:rPr>
      <w:t xml:space="preserve">	Generated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1"/>
      </w:pBdr>
      <w:tabs>
        <w:tab w:val="right" w:pos="9360"/>
      </w:tabs>
      <w:spacing w:after="100"/>
    </w:pPr>
    <w:r>
      <w:rPr>
        <w:rFonts w:ascii="Calibri" w:cs="Calibri" w:eastAsia="Calibri" w:hAnsi="Calibri"/>
        <w:b/>
        <w:bCs/>
        <w:color w:val="1B2A4A"/>
        <w:sz w:val="19"/>
        <w:szCs w:val="19"/>
      </w:rPr>
      <w:t xml:space="preserve">HR Analytics Dashboard  |  Attrition Analysis Report</w:t>
    </w:r>
    <w:r>
      <w:rPr>
        <w:rFonts w:ascii="Calibri" w:cs="Calibri" w:eastAsia="Calibri" w:hAnsi="Calibri"/>
        <w:i/>
        <w:iCs/>
        <w:color w:val="757575"/>
        <w:sz w:val="17"/>
        <w:szCs w:val="17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2026-03-25T07:58:53.679Z</dcterms:created>
  <dcterms:modified xsi:type="dcterms:W3CDTF">2026-03-25T07:58:53.680Z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