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Presently, the organisation is diligently buckling down on the following four ongoing projects.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Akshar aims to educate four hundred underprivileged children at different centres and impart them with elementary knowledge and dexterity before they acquire enough competence to be endorsed for the next project, project pathshala.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Pathshala works to ennoble the meritorious students of Project Akshar by admitting them to decent private institutions and funding the rest of their studies. This project has already benefited fifteen brilliant slum children and is looking forward for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Project Aakar is consigned for the overall development of two hundred poor children from the slums and procure them with finesse in specific interests other than from academic outlook. Various activities and workshops are conducted on a weekly basis for the same.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Under Project Aanand, educational and fun trips are organised for five hundred addressed children occasionally to keep them captivated throughout the learning process. Also, there are events, coordinated to provide them with a platform to enhance and showcase their flair in outside activities as well.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