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8"/>
          <w:szCs w:val="48"/>
        </w:rPr>
        <w:t xml:space="preserve">SpendSmart</w:t>
      </w:r>
    </w:p>
    <w:p>
      <w:pPr>
        <w:spacing w:after="60"/>
        <w:jc w:val="center"/>
      </w:pPr>
      <w:r>
        <w:rPr>
          <w:i/>
          <w:iCs/>
          <w:sz w:val="26"/>
          <w:szCs w:val="26"/>
        </w:rPr>
        <w:t xml:space="preserve">A Database-Driven Personal Finance Tracker</w:t>
      </w:r>
    </w:p>
    <w:p>
      <w:pPr>
        <w:spacing w:after="40"/>
        <w:jc w:val="center"/>
      </w:pPr>
      <w:r>
        <w:rPr>
          <w:sz w:val="24"/>
          <w:szCs w:val="24"/>
        </w:rPr>
        <w:t xml:space="preserve">Final Project Report</w:t>
      </w:r>
    </w:p>
    <w:p>
      <w:pPr>
        <w:spacing w:after="40"/>
        <w:jc w:val="center"/>
      </w:pPr>
      <w:r>
        <w:rPr>
          <w:sz w:val="22"/>
          <w:szCs w:val="22"/>
        </w:rPr>
        <w:t xml:space="preserve">Neha Raneru</w:t>
      </w:r>
    </w:p>
    <w:p>
      <w:pPr>
        <w:spacing w:after="40"/>
        <w:jc w:val="center"/>
      </w:pPr>
      <w:r>
        <w:rPr>
          <w:sz w:val="22"/>
          <w:szCs w:val="22"/>
        </w:rPr>
        <w:t xml:space="preserve">CS 4710 — Database Systems — Spring 2026</w:t>
      </w:r>
    </w:p>
    <w:p>
      <w:pPr>
        <w:spacing w:after="360"/>
        <w:jc w:val="center"/>
      </w:pPr>
      <w:r>
        <w:rPr>
          <w:sz w:val="22"/>
          <w:szCs w:val="22"/>
        </w:rPr>
        <w:t xml:space="preserve">Stage 5 — April 17, 2026</w:t>
      </w:r>
    </w:p>
    <w:p>
      <w:pPr>
        <w:pStyle w:val="Heading1"/>
        <w:spacing w:after="160" w:before="360"/>
      </w:pPr>
      <w:r>
        <w:rPr>
          <w:b/>
          <w:bCs/>
        </w:rPr>
        <w:t xml:space="preserve">1. Introduction</w:t>
      </w:r>
    </w:p>
    <w:p>
      <w:pPr>
        <w:spacing w:after="160"/>
        <w:jc w:val="both"/>
      </w:pPr>
      <w:r>
        <w:t xml:space="preserve">SpendSmart is a database-driven, web-based personal finance tracker designed for college students and young professionals. Users can register, add multiple bank accounts, record income and expense transactions across several categories, set monthly spending budgets, and view analytics that include a budget forecast projecting whether the user will exceed each category limit by month end.</w:t>
      </w:r>
    </w:p>
    <w:p>
      <w:pPr>
        <w:pStyle w:val="Heading2"/>
        <w:spacing w:after="120" w:before="240"/>
      </w:pPr>
      <w:r>
        <w:rPr>
          <w:b/>
          <w:bCs/>
        </w:rPr>
        <w:t xml:space="preserve">1.1 Motivation</w:t>
      </w:r>
    </w:p>
    <w:p>
      <w:pPr>
        <w:spacing w:after="160"/>
        <w:jc w:val="both"/>
      </w:pPr>
      <w:r>
        <w:t xml:space="preserve">Personal finance tools exist, but each has a gap. Mint, once the dominant free option, shut down in January 2024. YNAB (You Need A Budget) charges $14.99 per month and has a steep learning curve that discourages beginners. Native banking apps show only the single bank that issued them, giving no consolidated view across checking, savings, and credit accounts. SpendSmart targets exactly this underserved middle ground: free, simple, multi-account, with one analytical feature that ordinary banking apps do not offer — budget forecasting based on the current spending rate.</w:t>
      </w:r>
    </w:p>
    <w:p>
      <w:pPr>
        <w:spacing w:after="160"/>
        <w:jc w:val="both"/>
      </w:pPr>
      <w:r>
        <w:t xml:space="preserve">Beyond the application motivation, SpendSmart is a strong academic fit for CS 4710 because personal finance naturally requires a normalized relational schema, foreign-key integrity, multi-table joins, aggregate queries, and conditional logic. The domain is familiar enough that design decisions are easy to explain, yet it is rich enough to support a genuinely technically challenging advanced function.</w:t>
      </w:r>
    </w:p>
    <w:p>
      <w:pPr>
        <w:pStyle w:val="Heading2"/>
        <w:spacing w:after="120" w:before="240"/>
      </w:pPr>
      <w:r>
        <w:rPr>
          <w:b/>
          <w:bCs/>
        </w:rPr>
        <w:t xml:space="preserve">1.2 Key Components</w:t>
      </w:r>
    </w:p>
    <w:p>
      <w:pPr>
        <w:pStyle w:val="ListParagraph"/>
        <w:numPr>
          <w:ilvl w:val="0"/>
          <w:numId w:val="2"/>
        </w:numPr>
        <w:spacing w:after="80"/>
      </w:pPr>
      <w:r>
        <w:t xml:space="preserve">A MySQL 8.0 relational database of five tables in Boyce-Codd Normal Form, with primary keys, foreign-key constraints, unique constraints, and enumerated types enforcing data integrity at the database layer.</w:t>
      </w:r>
    </w:p>
    <w:p>
      <w:pPr>
        <w:pStyle w:val="ListParagraph"/>
        <w:numPr>
          <w:ilvl w:val="0"/>
          <w:numId w:val="2"/>
        </w:numPr>
        <w:spacing w:after="80"/>
      </w:pPr>
      <w:r>
        <w:t xml:space="preserve">A Python Flask backend exposing seven routes that implement all six rubric-mandated basic functions (INSERT, SEARCH, JOIN, AGGREGATE, UPDATE, DELETE) plus the advanced budget forecast.</w:t>
      </w:r>
    </w:p>
    <w:p>
      <w:pPr>
        <w:pStyle w:val="ListParagraph"/>
        <w:numPr>
          <w:ilvl w:val="0"/>
          <w:numId w:val="2"/>
        </w:numPr>
        <w:spacing w:after="80"/>
      </w:pPr>
      <w:r>
        <w:t xml:space="preserve">A Jinja2 templated front end with responsive CSS (desktop, tablet, and mobile breakpoints), tabbed forms, filterable tables, inline validation, and color-coded status indicators.</w:t>
      </w:r>
    </w:p>
    <w:p>
      <w:pPr>
        <w:pStyle w:val="ListParagraph"/>
        <w:numPr>
          <w:ilvl w:val="0"/>
          <w:numId w:val="2"/>
        </w:numPr>
        <w:spacing w:after="80"/>
      </w:pPr>
      <w:r>
        <w:t xml:space="preserve">A 25-test end-to-end test suite covering every CRUD operation, edge cases such as NULL handling and empty result sets, month boundaries including leap years, and UNIQUE constraint enforcement.</w:t>
      </w:r>
    </w:p>
    <w:p>
      <w:pPr>
        <w:pStyle w:val="Heading1"/>
        <w:spacing w:after="160" w:before="360"/>
      </w:pPr>
      <w:r>
        <w:rPr>
          <w:b/>
          <w:bCs/>
        </w:rPr>
        <w:t xml:space="preserve">2. Database Details</w:t>
      </w:r>
    </w:p>
    <w:p>
      <w:pPr>
        <w:spacing w:after="160"/>
        <w:jc w:val="both"/>
      </w:pPr>
      <w:r>
        <w:t xml:space="preserve">The database is modeled around five entities identified directly from the application domain: a user owns one or more accounts; each account records many transactions; every transaction belongs to a single category; and each user sets monthly budgets per category. These relationships produced a schema that normalizes cleanly to BCNF without requiring any artificial junction tables.</w:t>
      </w:r>
    </w:p>
    <w:p>
      <w:pPr>
        <w:pStyle w:val="Heading2"/>
        <w:spacing w:after="120" w:before="240"/>
      </w:pPr>
      <w:r>
        <w:rPr>
          <w:b/>
          <w:bCs/>
        </w:rPr>
        <w:t xml:space="preserve">2.1 Entity-Relationship Model</w:t>
      </w:r>
    </w:p>
    <w:p>
      <w:pPr>
        <w:spacing w:after="160"/>
        <w:jc w:val="both"/>
      </w:pPr>
      <w:r>
        <w:t xml:space="preserve">The ER model contains five entities and five relationships:</w:t>
      </w:r>
    </w:p>
    <w:p>
      <w:pPr>
        <w:pStyle w:val="ListParagraph"/>
        <w:numPr>
          <w:ilvl w:val="0"/>
          <w:numId w:val="2"/>
        </w:numPr>
        <w:spacing w:after="80"/>
      </w:pPr>
      <w:r>
        <w:rPr>
          <w:b/>
          <w:bCs/>
        </w:rPr>
        <w:t xml:space="preserve">User → Account: </w:t>
      </w:r>
      <w:r>
        <w:t xml:space="preserve">one-to-many. One user owns multiple accounts; each account belongs to exactly one user.</w:t>
      </w:r>
    </w:p>
    <w:p>
      <w:pPr>
        <w:pStyle w:val="ListParagraph"/>
        <w:numPr>
          <w:ilvl w:val="0"/>
          <w:numId w:val="2"/>
        </w:numPr>
        <w:spacing w:after="80"/>
      </w:pPr>
      <w:r>
        <w:rPr>
          <w:b/>
          <w:bCs/>
        </w:rPr>
        <w:t xml:space="preserve">Account → Transaction: </w:t>
      </w:r>
      <w:r>
        <w:t xml:space="preserve">one-to-many. Each transaction is drawn on exactly one account.</w:t>
      </w:r>
    </w:p>
    <w:p>
      <w:pPr>
        <w:pStyle w:val="ListParagraph"/>
        <w:numPr>
          <w:ilvl w:val="0"/>
          <w:numId w:val="2"/>
        </w:numPr>
        <w:spacing w:after="80"/>
      </w:pPr>
      <w:r>
        <w:rPr>
          <w:b/>
          <w:bCs/>
        </w:rPr>
        <w:t xml:space="preserve">Transaction → Category: </w:t>
      </w:r>
      <w:r>
        <w:t xml:space="preserve">many-to-one. Each transaction is labeled with exactly one category; a category applies to many transactions.</w:t>
      </w:r>
    </w:p>
    <w:p>
      <w:pPr>
        <w:pStyle w:val="ListParagraph"/>
        <w:numPr>
          <w:ilvl w:val="0"/>
          <w:numId w:val="2"/>
        </w:numPr>
        <w:spacing w:after="80"/>
      </w:pPr>
      <w:r>
        <w:rPr>
          <w:b/>
          <w:bCs/>
        </w:rPr>
        <w:t xml:space="preserve">User → Budget: </w:t>
      </w:r>
      <w:r>
        <w:t xml:space="preserve">one-to-many. A user sets multiple budgets (one per category per month).</w:t>
      </w:r>
    </w:p>
    <w:p>
      <w:pPr>
        <w:pStyle w:val="ListParagraph"/>
        <w:numPr>
          <w:ilvl w:val="0"/>
          <w:numId w:val="2"/>
        </w:numPr>
        <w:spacing w:after="80"/>
      </w:pPr>
      <w:r>
        <w:rPr>
          <w:b/>
          <w:bCs/>
        </w:rPr>
        <w:t xml:space="preserve">Budget → Category: </w:t>
      </w:r>
      <w:r>
        <w:t xml:space="preserve">many-to-one. Each budget is tied to one category.</w:t>
      </w:r>
    </w:p>
    <w:p>
      <w:pPr>
        <w:pStyle w:val="Heading2"/>
        <w:spacing w:after="120" w:before="240"/>
      </w:pPr>
      <w:r>
        <w:rPr>
          <w:b/>
          <w:bCs/>
        </w:rPr>
        <w:t xml:space="preserve">2.2 Relational Schema</w:t>
      </w:r>
    </w:p>
    <w:p>
      <w:pPr>
        <w:spacing w:after="160"/>
        <w:jc w:val="both"/>
      </w:pPr>
      <w:r>
        <w:t xml:space="preserve">The schema below shows every table with its primary key, foreign keys, and additional constraints. All integer primary keys are AUTO_INCREMENT. All amounts are stored as DECIMAL(10, 2) to preserve currency precision.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100"/>
        <w:gridCol w:w="1100"/>
        <w:gridCol w:w="1900"/>
        <w:gridCol w:w="2160"/>
      </w:tblGrid>
      <w:tr>
        <w:trPr>
          <w:tblHeader/>
        </w:trPr>
        <w:tc>
          <w:tcPr>
            <w:tcW w:type="dxa" w:w="1100"/>
            <w:tcBorders>
              <w:top w:val="single" w:color="B0B6BE" w:sz="4"/>
              <w:left w:val="single" w:color="B0B6BE" w:sz="4"/>
              <w:bottom w:val="single" w:color="B0B6BE" w:sz="4"/>
              <w:right w:val="single" w:color="B0B6BE" w:sz="4"/>
            </w:tcBorders>
            <w:shd w:fill="E5E7EB" w:color="auto" w:val="clear"/>
            <w:tcMar>
              <w:top w:type="dxa" w:w="80"/>
              <w:left w:type="dxa" w:w="100"/>
              <w:bottom w:type="dxa" w:w="80"/>
              <w:right w:type="dxa" w:w="100"/>
            </w:tcMar>
          </w:tcPr>
          <w:p>
            <w:r>
              <w:rPr>
                <w:b/>
                <w:bCs/>
                <w:sz w:val="20"/>
                <w:szCs w:val="20"/>
              </w:rPr>
              <w:t xml:space="preserve">Table</w:t>
            </w:r>
          </w:p>
        </w:tc>
        <w:tc>
          <w:tcPr>
            <w:tcW w:type="dxa" w:w="3100"/>
            <w:tcBorders>
              <w:top w:val="single" w:color="B0B6BE" w:sz="4"/>
              <w:left w:val="single" w:color="B0B6BE" w:sz="4"/>
              <w:bottom w:val="single" w:color="B0B6BE" w:sz="4"/>
              <w:right w:val="single" w:color="B0B6BE" w:sz="4"/>
            </w:tcBorders>
            <w:shd w:fill="E5E7EB" w:color="auto" w:val="clear"/>
            <w:tcMar>
              <w:top w:type="dxa" w:w="80"/>
              <w:left w:type="dxa" w:w="100"/>
              <w:bottom w:type="dxa" w:w="80"/>
              <w:right w:type="dxa" w:w="100"/>
            </w:tcMar>
          </w:tcPr>
          <w:p>
            <w:r>
              <w:rPr>
                <w:b/>
                <w:bCs/>
                <w:sz w:val="20"/>
                <w:szCs w:val="20"/>
              </w:rPr>
              <w:t xml:space="preserve">Columns (type)</w:t>
            </w:r>
          </w:p>
        </w:tc>
        <w:tc>
          <w:tcPr>
            <w:tcW w:type="dxa" w:w="1100"/>
            <w:tcBorders>
              <w:top w:val="single" w:color="B0B6BE" w:sz="4"/>
              <w:left w:val="single" w:color="B0B6BE" w:sz="4"/>
              <w:bottom w:val="single" w:color="B0B6BE" w:sz="4"/>
              <w:right w:val="single" w:color="B0B6BE" w:sz="4"/>
            </w:tcBorders>
            <w:shd w:fill="E5E7EB" w:color="auto" w:val="clear"/>
            <w:tcMar>
              <w:top w:type="dxa" w:w="80"/>
              <w:left w:type="dxa" w:w="100"/>
              <w:bottom w:type="dxa" w:w="80"/>
              <w:right w:type="dxa" w:w="100"/>
            </w:tcMar>
          </w:tcPr>
          <w:p>
            <w:r>
              <w:rPr>
                <w:b/>
                <w:bCs/>
                <w:sz w:val="20"/>
                <w:szCs w:val="20"/>
              </w:rPr>
              <w:t xml:space="preserve">Primary Key</w:t>
            </w:r>
          </w:p>
        </w:tc>
        <w:tc>
          <w:tcPr>
            <w:tcW w:type="dxa" w:w="1900"/>
            <w:tcBorders>
              <w:top w:val="single" w:color="B0B6BE" w:sz="4"/>
              <w:left w:val="single" w:color="B0B6BE" w:sz="4"/>
              <w:bottom w:val="single" w:color="B0B6BE" w:sz="4"/>
              <w:right w:val="single" w:color="B0B6BE" w:sz="4"/>
            </w:tcBorders>
            <w:shd w:fill="E5E7EB" w:color="auto" w:val="clear"/>
            <w:tcMar>
              <w:top w:type="dxa" w:w="80"/>
              <w:left w:type="dxa" w:w="100"/>
              <w:bottom w:type="dxa" w:w="80"/>
              <w:right w:type="dxa" w:w="100"/>
            </w:tcMar>
          </w:tcPr>
          <w:p>
            <w:r>
              <w:rPr>
                <w:b/>
                <w:bCs/>
                <w:sz w:val="20"/>
                <w:szCs w:val="20"/>
              </w:rPr>
              <w:t xml:space="preserve">Foreign Keys</w:t>
            </w:r>
          </w:p>
        </w:tc>
        <w:tc>
          <w:tcPr>
            <w:tcW w:type="dxa" w:w="2160"/>
            <w:tcBorders>
              <w:top w:val="single" w:color="B0B6BE" w:sz="4"/>
              <w:left w:val="single" w:color="B0B6BE" w:sz="4"/>
              <w:bottom w:val="single" w:color="B0B6BE" w:sz="4"/>
              <w:right w:val="single" w:color="B0B6BE" w:sz="4"/>
            </w:tcBorders>
            <w:shd w:fill="E5E7EB" w:color="auto" w:val="clear"/>
            <w:tcMar>
              <w:top w:type="dxa" w:w="80"/>
              <w:left w:type="dxa" w:w="100"/>
              <w:bottom w:type="dxa" w:w="80"/>
              <w:right w:type="dxa" w:w="100"/>
            </w:tcMar>
          </w:tcPr>
          <w:p>
            <w:r>
              <w:rPr>
                <w:b/>
                <w:bCs/>
                <w:sz w:val="20"/>
                <w:szCs w:val="20"/>
              </w:rPr>
              <w:t xml:space="preserve">Other Constraints</w:t>
            </w:r>
          </w:p>
        </w:tc>
      </w:tr>
      <w:tr>
        <w:trPr>
          <w:tblHeader w:val="false"/>
        </w:trPr>
        <w:tc>
          <w:tcPr>
            <w:tcW w:type="dxa" w:w="11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User</w:t>
            </w:r>
          </w:p>
        </w:tc>
        <w:tc>
          <w:tcPr>
            <w:tcW w:type="dxa" w:w="31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user_id INT, name VARCHAR(100), email VARCHAR(150), password VARCHAR(255)</w:t>
            </w:r>
          </w:p>
        </w:tc>
        <w:tc>
          <w:tcPr>
            <w:tcW w:type="dxa" w:w="11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user_id</w:t>
            </w:r>
          </w:p>
        </w:tc>
        <w:tc>
          <w:tcPr>
            <w:tcW w:type="dxa" w:w="19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w:t>
            </w:r>
          </w:p>
        </w:tc>
        <w:tc>
          <w:tcPr>
            <w:tcW w:type="dxa" w:w="216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email UNIQUE; NOT NULL on all</w:t>
            </w:r>
          </w:p>
        </w:tc>
      </w:tr>
      <w:tr>
        <w:trPr>
          <w:tblHeader w:val="false"/>
        </w:trPr>
        <w:tc>
          <w:tcPr>
            <w:tcW w:type="dxa" w:w="11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Account</w:t>
            </w:r>
          </w:p>
        </w:tc>
        <w:tc>
          <w:tcPr>
            <w:tcW w:type="dxa" w:w="31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account_id INT, user_id INT, type VARCHAR(50), balance DECIMAL(10,2)</w:t>
            </w:r>
          </w:p>
        </w:tc>
        <w:tc>
          <w:tcPr>
            <w:tcW w:type="dxa" w:w="11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account_id</w:t>
            </w:r>
          </w:p>
        </w:tc>
        <w:tc>
          <w:tcPr>
            <w:tcW w:type="dxa" w:w="19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user_id → User</w:t>
            </w:r>
          </w:p>
        </w:tc>
        <w:tc>
          <w:tcPr>
            <w:tcW w:type="dxa" w:w="216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ON DELETE CASCADE</w:t>
            </w:r>
          </w:p>
        </w:tc>
      </w:tr>
      <w:tr>
        <w:trPr>
          <w:tblHeader w:val="false"/>
        </w:trPr>
        <w:tc>
          <w:tcPr>
            <w:tcW w:type="dxa" w:w="11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Category</w:t>
            </w:r>
          </w:p>
        </w:tc>
        <w:tc>
          <w:tcPr>
            <w:tcW w:type="dxa" w:w="31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category_id INT, name VARCHAR(50)</w:t>
            </w:r>
          </w:p>
        </w:tc>
        <w:tc>
          <w:tcPr>
            <w:tcW w:type="dxa" w:w="11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category_id</w:t>
            </w:r>
          </w:p>
        </w:tc>
        <w:tc>
          <w:tcPr>
            <w:tcW w:type="dxa" w:w="19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w:t>
            </w:r>
          </w:p>
        </w:tc>
        <w:tc>
          <w:tcPr>
            <w:tcW w:type="dxa" w:w="216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name UNIQUE</w:t>
            </w:r>
          </w:p>
        </w:tc>
      </w:tr>
      <w:tr>
        <w:trPr>
          <w:tblHeader w:val="false"/>
        </w:trPr>
        <w:tc>
          <w:tcPr>
            <w:tcW w:type="dxa" w:w="11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Transaction</w:t>
            </w:r>
          </w:p>
        </w:tc>
        <w:tc>
          <w:tcPr>
            <w:tcW w:type="dxa" w:w="31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transaction_id INT, account_id INT, category_id INT, amount DECIMAL(10,2), date DATE, type ENUM</w:t>
            </w:r>
          </w:p>
        </w:tc>
        <w:tc>
          <w:tcPr>
            <w:tcW w:type="dxa" w:w="11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transaction_id</w:t>
            </w:r>
          </w:p>
        </w:tc>
        <w:tc>
          <w:tcPr>
            <w:tcW w:type="dxa" w:w="19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account_id → Account; category_id → Category</w:t>
            </w:r>
          </w:p>
        </w:tc>
        <w:tc>
          <w:tcPr>
            <w:tcW w:type="dxa" w:w="216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ENUM('expense','income'); indexes on date, category_id</w:t>
            </w:r>
          </w:p>
        </w:tc>
      </w:tr>
      <w:tr>
        <w:trPr>
          <w:tblHeader w:val="false"/>
        </w:trPr>
        <w:tc>
          <w:tcPr>
            <w:tcW w:type="dxa" w:w="11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Budget</w:t>
            </w:r>
          </w:p>
        </w:tc>
        <w:tc>
          <w:tcPr>
            <w:tcW w:type="dxa" w:w="31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budget_id INT, user_id INT, category_id INT, monthly_limit DECIMAL(10,2), month CHAR(7)</w:t>
            </w:r>
          </w:p>
        </w:tc>
        <w:tc>
          <w:tcPr>
            <w:tcW w:type="dxa" w:w="11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budget_id</w:t>
            </w:r>
          </w:p>
        </w:tc>
        <w:tc>
          <w:tcPr>
            <w:tcW w:type="dxa" w:w="19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user_id → User; category_id → Category</w:t>
            </w:r>
          </w:p>
        </w:tc>
        <w:tc>
          <w:tcPr>
            <w:tcW w:type="dxa" w:w="216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UNIQUE (user_id, category_id, month)</w:t>
            </w:r>
          </w:p>
        </w:tc>
      </w:tr>
    </w:tbl>
    <w:p>
      <w:pPr>
        <w:pStyle w:val="Heading2"/>
        <w:spacing w:after="120" w:before="240"/>
      </w:pPr>
      <w:r>
        <w:rPr>
          <w:b/>
          <w:bCs/>
        </w:rPr>
        <w:t xml:space="preserve">2.3 BCNF Justification</w:t>
      </w:r>
    </w:p>
    <w:p>
      <w:pPr>
        <w:spacing w:after="160"/>
        <w:jc w:val="both"/>
      </w:pPr>
      <w:r>
        <w:t xml:space="preserve">A relation is in Boyce-Codd Normal Form when every non-trivial functional dependency has a superkey on the left-hand side. Each SpendSmart table satisfies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700"/>
        <w:gridCol w:w="4460"/>
      </w:tblGrid>
      <w:tr>
        <w:trPr>
          <w:tblHeader/>
        </w:trPr>
        <w:tc>
          <w:tcPr>
            <w:tcW w:type="dxa" w:w="1200"/>
            <w:tcBorders>
              <w:top w:val="single" w:color="B0B6BE" w:sz="4"/>
              <w:left w:val="single" w:color="B0B6BE" w:sz="4"/>
              <w:bottom w:val="single" w:color="B0B6BE" w:sz="4"/>
              <w:right w:val="single" w:color="B0B6BE" w:sz="4"/>
            </w:tcBorders>
            <w:shd w:fill="E5E7EB" w:color="auto" w:val="clear"/>
            <w:tcMar>
              <w:top w:type="dxa" w:w="80"/>
              <w:left w:type="dxa" w:w="100"/>
              <w:bottom w:type="dxa" w:w="80"/>
              <w:right w:type="dxa" w:w="100"/>
            </w:tcMar>
          </w:tcPr>
          <w:p>
            <w:r>
              <w:rPr>
                <w:b/>
                <w:bCs/>
                <w:sz w:val="20"/>
                <w:szCs w:val="20"/>
              </w:rPr>
              <w:t xml:space="preserve">Table</w:t>
            </w:r>
          </w:p>
        </w:tc>
        <w:tc>
          <w:tcPr>
            <w:tcW w:type="dxa" w:w="3700"/>
            <w:tcBorders>
              <w:top w:val="single" w:color="B0B6BE" w:sz="4"/>
              <w:left w:val="single" w:color="B0B6BE" w:sz="4"/>
              <w:bottom w:val="single" w:color="B0B6BE" w:sz="4"/>
              <w:right w:val="single" w:color="B0B6BE" w:sz="4"/>
            </w:tcBorders>
            <w:shd w:fill="E5E7EB" w:color="auto" w:val="clear"/>
            <w:tcMar>
              <w:top w:type="dxa" w:w="80"/>
              <w:left w:type="dxa" w:w="100"/>
              <w:bottom w:type="dxa" w:w="80"/>
              <w:right w:type="dxa" w:w="100"/>
            </w:tcMar>
          </w:tcPr>
          <w:p>
            <w:r>
              <w:rPr>
                <w:b/>
                <w:bCs/>
                <w:sz w:val="20"/>
                <w:szCs w:val="20"/>
              </w:rPr>
              <w:t xml:space="preserve">Key Functional Dependencies</w:t>
            </w:r>
          </w:p>
        </w:tc>
        <w:tc>
          <w:tcPr>
            <w:tcW w:type="dxa" w:w="4460"/>
            <w:tcBorders>
              <w:top w:val="single" w:color="B0B6BE" w:sz="4"/>
              <w:left w:val="single" w:color="B0B6BE" w:sz="4"/>
              <w:bottom w:val="single" w:color="B0B6BE" w:sz="4"/>
              <w:right w:val="single" w:color="B0B6BE" w:sz="4"/>
            </w:tcBorders>
            <w:shd w:fill="E5E7EB" w:color="auto" w:val="clear"/>
            <w:tcMar>
              <w:top w:type="dxa" w:w="80"/>
              <w:left w:type="dxa" w:w="100"/>
              <w:bottom w:type="dxa" w:w="80"/>
              <w:right w:type="dxa" w:w="100"/>
            </w:tcMar>
          </w:tcPr>
          <w:p>
            <w:r>
              <w:rPr>
                <w:b/>
                <w:bCs/>
                <w:sz w:val="20"/>
                <w:szCs w:val="20"/>
              </w:rPr>
              <w:t xml:space="preserve">Why it is in BCNF</w:t>
            </w:r>
          </w:p>
        </w:tc>
      </w:tr>
      <w:tr>
        <w:trPr>
          <w:tblHeader w:val="false"/>
        </w:trPr>
        <w:tc>
          <w:tcPr>
            <w:tcW w:type="dxa" w:w="12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User</w:t>
            </w:r>
          </w:p>
        </w:tc>
        <w:tc>
          <w:tcPr>
            <w:tcW w:type="dxa" w:w="37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user_id → name, email, password</w:t>
            </w:r>
          </w:p>
        </w:tc>
        <w:tc>
          <w:tcPr>
            <w:tcW w:type="dxa" w:w="446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The only determinant is user_id, which is the primary key (a superkey).</w:t>
            </w:r>
          </w:p>
        </w:tc>
      </w:tr>
      <w:tr>
        <w:trPr>
          <w:tblHeader w:val="false"/>
        </w:trPr>
        <w:tc>
          <w:tcPr>
            <w:tcW w:type="dxa" w:w="12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Account</w:t>
            </w:r>
          </w:p>
        </w:tc>
        <w:tc>
          <w:tcPr>
            <w:tcW w:type="dxa" w:w="37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account_id → user_id, type, balance</w:t>
            </w:r>
          </w:p>
        </w:tc>
        <w:tc>
          <w:tcPr>
            <w:tcW w:type="dxa" w:w="446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account_id is the sole determinant and is a superkey.</w:t>
            </w:r>
          </w:p>
        </w:tc>
      </w:tr>
      <w:tr>
        <w:trPr>
          <w:tblHeader w:val="false"/>
        </w:trPr>
        <w:tc>
          <w:tcPr>
            <w:tcW w:type="dxa" w:w="12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Category</w:t>
            </w:r>
          </w:p>
        </w:tc>
        <w:tc>
          <w:tcPr>
            <w:tcW w:type="dxa" w:w="37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category_id → name; name → category_id</w:t>
            </w:r>
          </w:p>
        </w:tc>
        <w:tc>
          <w:tcPr>
            <w:tcW w:type="dxa" w:w="446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Both determinants are candidate keys (category_id PK, name UNIQUE).</w:t>
            </w:r>
          </w:p>
        </w:tc>
      </w:tr>
      <w:tr>
        <w:trPr>
          <w:tblHeader w:val="false"/>
        </w:trPr>
        <w:tc>
          <w:tcPr>
            <w:tcW w:type="dxa" w:w="12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Transaction</w:t>
            </w:r>
          </w:p>
        </w:tc>
        <w:tc>
          <w:tcPr>
            <w:tcW w:type="dxa" w:w="37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transaction_id → account_id, category_id, amount, date, type</w:t>
            </w:r>
          </w:p>
        </w:tc>
        <w:tc>
          <w:tcPr>
            <w:tcW w:type="dxa" w:w="446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transaction_id is the sole determinant and is a superkey.</w:t>
            </w:r>
          </w:p>
        </w:tc>
      </w:tr>
      <w:tr>
        <w:trPr>
          <w:tblHeader w:val="false"/>
        </w:trPr>
        <w:tc>
          <w:tcPr>
            <w:tcW w:type="dxa" w:w="12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Budget</w:t>
            </w:r>
          </w:p>
        </w:tc>
        <w:tc>
          <w:tcPr>
            <w:tcW w:type="dxa" w:w="37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budget_id → user_id, category_id, monthly_limit, month; (user_id, category_id, month) → budget_id</w:t>
            </w:r>
          </w:p>
        </w:tc>
        <w:tc>
          <w:tcPr>
            <w:tcW w:type="dxa" w:w="446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Both determinants are candidate keys (the surrogate PK and the UNIQUE triple).</w:t>
            </w:r>
          </w:p>
        </w:tc>
      </w:tr>
    </w:tbl>
    <w:p>
      <w:pPr>
        <w:spacing w:after="160"/>
        <w:jc w:val="both"/>
      </w:pPr>
      <w:r>
        <w:t xml:space="preserve">No partial or transitive dependencies exist. For example, the name of a category depends only on category_id, so it lives in its own Category table rather than being denormalized into Transaction.</w:t>
      </w:r>
    </w:p>
    <w:p>
      <w:pPr>
        <w:pStyle w:val="Heading2"/>
        <w:spacing w:after="120" w:before="240"/>
      </w:pPr>
      <w:r>
        <w:rPr>
          <w:b/>
          <w:bCs/>
        </w:rPr>
        <w:t xml:space="preserve">2.4 Integrity Constraints</w:t>
      </w:r>
    </w:p>
    <w:p>
      <w:pPr>
        <w:pStyle w:val="ListParagraph"/>
        <w:numPr>
          <w:ilvl w:val="0"/>
          <w:numId w:val="2"/>
        </w:numPr>
        <w:spacing w:after="80"/>
      </w:pPr>
      <w:r>
        <w:rPr>
          <w:b/>
          <w:bCs/>
        </w:rPr>
        <w:t xml:space="preserve">Entity integrity: </w:t>
      </w:r>
      <w:r>
        <w:t xml:space="preserve">every table has a non-null primary key.</w:t>
      </w:r>
    </w:p>
    <w:p>
      <w:pPr>
        <w:pStyle w:val="ListParagraph"/>
        <w:numPr>
          <w:ilvl w:val="0"/>
          <w:numId w:val="2"/>
        </w:numPr>
        <w:spacing w:after="80"/>
      </w:pPr>
      <w:r>
        <w:rPr>
          <w:b/>
          <w:bCs/>
        </w:rPr>
        <w:t xml:space="preserve">Referential integrity: </w:t>
      </w:r>
      <w:r>
        <w:t xml:space="preserve">every foreign key references an existing row; Account.user_id and Budget.user_id CASCADE on delete, while Transaction.category_id and Budget.category_id RESTRICT on delete to prevent orphaning categorized history.</w:t>
      </w:r>
    </w:p>
    <w:p>
      <w:pPr>
        <w:pStyle w:val="ListParagraph"/>
        <w:numPr>
          <w:ilvl w:val="0"/>
          <w:numId w:val="2"/>
        </w:numPr>
        <w:spacing w:after="80"/>
      </w:pPr>
      <w:r>
        <w:rPr>
          <w:b/>
          <w:bCs/>
        </w:rPr>
        <w:t xml:space="preserve">Domain integrity: </w:t>
      </w:r>
      <w:r>
        <w:t xml:space="preserve">Transaction.type is an ENUM limited to 'expense' and 'income'; amounts and balances use DECIMAL(10,2); month is stored as the fixed-length string 'YYYY-MM'.</w:t>
      </w:r>
    </w:p>
    <w:p>
      <w:pPr>
        <w:pStyle w:val="ListParagraph"/>
        <w:numPr>
          <w:ilvl w:val="0"/>
          <w:numId w:val="2"/>
        </w:numPr>
        <w:spacing w:after="80"/>
      </w:pPr>
      <w:r>
        <w:rPr>
          <w:b/>
          <w:bCs/>
        </w:rPr>
        <w:t xml:space="preserve">Uniqueness: </w:t>
      </w:r>
      <w:r>
        <w:t xml:space="preserve">User.email is UNIQUE; Budget enforces UNIQUE(user_id, category_id, month) so a user cannot set two conflicting budgets for the same category in the same month.</w:t>
      </w:r>
    </w:p>
    <w:p>
      <w:pPr>
        <w:pStyle w:val="ListParagraph"/>
        <w:numPr>
          <w:ilvl w:val="0"/>
          <w:numId w:val="2"/>
        </w:numPr>
        <w:spacing w:after="80"/>
      </w:pPr>
      <w:r>
        <w:rPr>
          <w:b/>
          <w:bCs/>
        </w:rPr>
        <w:t xml:space="preserve">Validation: </w:t>
      </w:r>
      <w:r>
        <w:t xml:space="preserve">application-layer validation (email format, password length, positive amounts, valid date and month syntax) complements the database constraints and returns friendly inline error messages.</w:t>
      </w:r>
    </w:p>
    <w:p>
      <w:pPr>
        <w:pStyle w:val="Heading1"/>
        <w:spacing w:after="160" w:before="360"/>
      </w:pPr>
      <w:r>
        <w:rPr>
          <w:b/>
          <w:bCs/>
        </w:rPr>
        <w:t xml:space="preserve">3. Functionality Details</w:t>
      </w:r>
    </w:p>
    <w:p>
      <w:pPr>
        <w:spacing w:after="160"/>
        <w:jc w:val="both"/>
      </w:pPr>
      <w:r>
        <w:t xml:space="preserve">SpendSmart implements every required basic function plus one advanced function. Each basic function is exercised through at least one dedicated page in the UI and is tested by the end-to-end test suite.</w:t>
      </w:r>
    </w:p>
    <w:p>
      <w:pPr>
        <w:pStyle w:val="Heading2"/>
        <w:spacing w:after="120" w:before="240"/>
      </w:pPr>
      <w:r>
        <w:rPr>
          <w:b/>
          <w:bCs/>
        </w:rPr>
        <w:t xml:space="preserve">3.1 Basic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400"/>
        <w:gridCol w:w="2360"/>
      </w:tblGrid>
      <w:tr>
        <w:trPr>
          <w:tblHeader/>
        </w:trPr>
        <w:tc>
          <w:tcPr>
            <w:tcW w:type="dxa" w:w="1600"/>
            <w:tcBorders>
              <w:top w:val="single" w:color="B0B6BE" w:sz="4"/>
              <w:left w:val="single" w:color="B0B6BE" w:sz="4"/>
              <w:bottom w:val="single" w:color="B0B6BE" w:sz="4"/>
              <w:right w:val="single" w:color="B0B6BE" w:sz="4"/>
            </w:tcBorders>
            <w:shd w:fill="E5E7EB" w:color="auto" w:val="clear"/>
            <w:tcMar>
              <w:top w:type="dxa" w:w="80"/>
              <w:left w:type="dxa" w:w="100"/>
              <w:bottom w:type="dxa" w:w="80"/>
              <w:right w:type="dxa" w:w="100"/>
            </w:tcMar>
          </w:tcPr>
          <w:p>
            <w:r>
              <w:rPr>
                <w:b/>
                <w:bCs/>
                <w:sz w:val="20"/>
                <w:szCs w:val="20"/>
              </w:rPr>
              <w:t xml:space="preserve">Function</w:t>
            </w:r>
          </w:p>
        </w:tc>
        <w:tc>
          <w:tcPr>
            <w:tcW w:type="dxa" w:w="5400"/>
            <w:tcBorders>
              <w:top w:val="single" w:color="B0B6BE" w:sz="4"/>
              <w:left w:val="single" w:color="B0B6BE" w:sz="4"/>
              <w:bottom w:val="single" w:color="B0B6BE" w:sz="4"/>
              <w:right w:val="single" w:color="B0B6BE" w:sz="4"/>
            </w:tcBorders>
            <w:shd w:fill="E5E7EB" w:color="auto" w:val="clear"/>
            <w:tcMar>
              <w:top w:type="dxa" w:w="80"/>
              <w:left w:type="dxa" w:w="100"/>
              <w:bottom w:type="dxa" w:w="80"/>
              <w:right w:type="dxa" w:w="100"/>
            </w:tcMar>
          </w:tcPr>
          <w:p>
            <w:r>
              <w:rPr>
                <w:b/>
                <w:bCs/>
                <w:sz w:val="20"/>
                <w:szCs w:val="20"/>
              </w:rPr>
              <w:t xml:space="preserve">SQL / Feature Used</w:t>
            </w:r>
          </w:p>
        </w:tc>
        <w:tc>
          <w:tcPr>
            <w:tcW w:type="dxa" w:w="2360"/>
            <w:tcBorders>
              <w:top w:val="single" w:color="B0B6BE" w:sz="4"/>
              <w:left w:val="single" w:color="B0B6BE" w:sz="4"/>
              <w:bottom w:val="single" w:color="B0B6BE" w:sz="4"/>
              <w:right w:val="single" w:color="B0B6BE" w:sz="4"/>
            </w:tcBorders>
            <w:shd w:fill="E5E7EB" w:color="auto" w:val="clear"/>
            <w:tcMar>
              <w:top w:type="dxa" w:w="80"/>
              <w:left w:type="dxa" w:w="100"/>
              <w:bottom w:type="dxa" w:w="80"/>
              <w:right w:type="dxa" w:w="100"/>
            </w:tcMar>
          </w:tcPr>
          <w:p>
            <w:r>
              <w:rPr>
                <w:b/>
                <w:bCs/>
                <w:sz w:val="20"/>
                <w:szCs w:val="20"/>
              </w:rPr>
              <w:t xml:space="preserve">Route</w:t>
            </w:r>
          </w:p>
        </w:tc>
      </w:tr>
      <w:tr>
        <w:trPr>
          <w:tblHeader w:val="false"/>
        </w:trPr>
        <w:tc>
          <w:tcPr>
            <w:tcW w:type="dxa" w:w="16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INSERT</w:t>
            </w:r>
          </w:p>
        </w:tc>
        <w:tc>
          <w:tcPr>
            <w:tcW w:type="dxa" w:w="54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INSERT INTO with parameterized placeholders</w:t>
            </w:r>
          </w:p>
        </w:tc>
        <w:tc>
          <w:tcPr>
            <w:tcW w:type="dxa" w:w="236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POST /add</w:t>
            </w:r>
          </w:p>
        </w:tc>
      </w:tr>
      <w:tr>
        <w:trPr>
          <w:tblHeader w:val="false"/>
        </w:trPr>
        <w:tc>
          <w:tcPr>
            <w:tcW w:type="dxa" w:w="16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SEARCH / LIST</w:t>
            </w:r>
          </w:p>
        </w:tc>
        <w:tc>
          <w:tcPr>
            <w:tcW w:type="dxa" w:w="54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Dynamic WHERE clause with up to seven filters</w:t>
            </w:r>
          </w:p>
        </w:tc>
        <w:tc>
          <w:tcPr>
            <w:tcW w:type="dxa" w:w="236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GET /transactions</w:t>
            </w:r>
          </w:p>
        </w:tc>
      </w:tr>
      <w:tr>
        <w:trPr>
          <w:tblHeader w:val="false"/>
        </w:trPr>
        <w:tc>
          <w:tcPr>
            <w:tcW w:type="dxa" w:w="16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JOIN (multi-table)</w:t>
            </w:r>
          </w:p>
        </w:tc>
        <w:tc>
          <w:tcPr>
            <w:tcW w:type="dxa" w:w="54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Four-table JOIN: Transaction × Account × User × Category</w:t>
            </w:r>
          </w:p>
        </w:tc>
        <w:tc>
          <w:tcPr>
            <w:tcW w:type="dxa" w:w="236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GET /join</w:t>
            </w:r>
          </w:p>
        </w:tc>
      </w:tr>
      <w:tr>
        <w:trPr>
          <w:tblHeader w:val="false"/>
        </w:trPr>
        <w:tc>
          <w:tcPr>
            <w:tcW w:type="dxa" w:w="16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AGGREGATE</w:t>
            </w:r>
          </w:p>
        </w:tc>
        <w:tc>
          <w:tcPr>
            <w:tcW w:type="dxa" w:w="54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SUM(amount), COUNT(*), GROUP BY category, HAVING, percentage bars</w:t>
            </w:r>
          </w:p>
        </w:tc>
        <w:tc>
          <w:tcPr>
            <w:tcW w:type="dxa" w:w="236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GET /summary</w:t>
            </w:r>
          </w:p>
        </w:tc>
      </w:tr>
      <w:tr>
        <w:trPr>
          <w:tblHeader w:val="false"/>
        </w:trPr>
        <w:tc>
          <w:tcPr>
            <w:tcW w:type="dxa" w:w="16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UPDATE</w:t>
            </w:r>
          </w:p>
        </w:tc>
        <w:tc>
          <w:tcPr>
            <w:tcW w:type="dxa" w:w="54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UPDATE with WHERE transaction_id = ?, pre-filled form</w:t>
            </w:r>
          </w:p>
        </w:tc>
        <w:tc>
          <w:tcPr>
            <w:tcW w:type="dxa" w:w="236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POST /edit/&lt;id&gt;</w:t>
            </w:r>
          </w:p>
        </w:tc>
      </w:tr>
      <w:tr>
        <w:trPr>
          <w:tblHeader w:val="false"/>
        </w:trPr>
        <w:tc>
          <w:tcPr>
            <w:tcW w:type="dxa" w:w="16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DELETE</w:t>
            </w:r>
          </w:p>
        </w:tc>
        <w:tc>
          <w:tcPr>
            <w:tcW w:type="dxa" w:w="54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DELETE FROM Transaction WHERE transaction_id = ? with confirm dialog</w:t>
            </w:r>
          </w:p>
        </w:tc>
        <w:tc>
          <w:tcPr>
            <w:tcW w:type="dxa" w:w="236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POST /delete/&lt;id&gt;</w:t>
            </w:r>
          </w:p>
        </w:tc>
      </w:tr>
    </w:tbl>
    <w:p>
      <w:pPr>
        <w:spacing w:after="160"/>
        <w:jc w:val="both"/>
      </w:pPr>
      <w:r>
        <w:t xml:space="preserve">The SEARCH route demonstrates dynamic SQL construction. Filters are appended only when supplied by the user, and every value is bound as a parameter to prevent SQL injection. An empty-filter request returns all transactions; fully-constrained filters gracefully return an empty state rather than an error.</w:t>
      </w:r>
    </w:p>
    <w:p>
      <w:pPr>
        <w:spacing w:after="160"/>
        <w:jc w:val="both"/>
      </w:pPr>
      <w:r>
        <w:t xml:space="preserve">The AGGREGATE query uses a LEFT JOIN anchored on Category so that categories with zero spending are still enumerated in the initial result set; the HAVING clause then drops them from the final output. This pattern ensures correct NULL handling when the seed data contains no expenses in a category for the requested month.</w:t>
      </w:r>
    </w:p>
    <w:p>
      <w:pPr>
        <w:pStyle w:val="Heading2"/>
        <w:spacing w:after="120" w:before="240"/>
      </w:pPr>
      <w:r>
        <w:rPr>
          <w:b/>
          <w:bCs/>
        </w:rPr>
        <w:t xml:space="preserve">3.2 Advanced Function — Budget Forecast</w:t>
      </w:r>
    </w:p>
    <w:p>
      <w:pPr>
        <w:spacing w:after="160"/>
        <w:jc w:val="both"/>
      </w:pPr>
      <w:r>
        <w:t xml:space="preserve">The budget forecast predicts, at any point in the month, whether the user will exceed each category budget by month end based on their current spending rate. The implementation combines a Common Table Expression, a multi-table LEFT JOIN, aggregation, date arithmetic, and conditional logic. The executed SQL:</w:t>
      </w:r>
    </w:p>
    <w:p>
      <w:pPr>
        <w:shd w:fill="F3F4F6" w:color="auto" w:val="clear"/>
        <w:spacing w:after="140" w:before="60"/>
      </w:pPr>
      <w:r>
        <w:rPr>
          <w:rFonts w:ascii="Consolas" w:cs="Consolas" w:eastAsia="Consolas" w:hAnsi="Consolas"/>
          <w:sz w:val="18"/>
          <w:szCs w:val="18"/>
        </w:rPr>
        <w:t xml:space="preserve">WITH spent AS (</w:t>
      </w:r>
    </w:p>
    <w:p>
      <w:pPr>
        <w:shd w:fill="F3F4F6" w:color="auto" w:val="clear"/>
        <w:spacing w:after="140" w:before="60"/>
      </w:pPr>
      <w:r>
        <w:rPr>
          <w:rFonts w:ascii="Consolas" w:cs="Consolas" w:eastAsia="Consolas" w:hAnsi="Consolas"/>
          <w:sz w:val="18"/>
          <w:szCs w:val="18"/>
        </w:rPr>
        <w:t xml:space="preserve">  SELECT t.category_id,</w:t>
      </w:r>
    </w:p>
    <w:p>
      <w:pPr>
        <w:shd w:fill="F3F4F6" w:color="auto" w:val="clear"/>
        <w:spacing w:after="140" w:before="60"/>
      </w:pPr>
      <w:r>
        <w:rPr>
          <w:rFonts w:ascii="Consolas" w:cs="Consolas" w:eastAsia="Consolas" w:hAnsi="Consolas"/>
          <w:sz w:val="18"/>
          <w:szCs w:val="18"/>
        </w:rPr>
        <w:t xml:space="preserve">         COALESCE(SUM(t.amount), 0) AS spent_amount</w:t>
      </w:r>
    </w:p>
    <w:p>
      <w:pPr>
        <w:shd w:fill="F3F4F6" w:color="auto" w:val="clear"/>
        <w:spacing w:after="140" w:before="60"/>
      </w:pPr>
      <w:r>
        <w:rPr>
          <w:rFonts w:ascii="Consolas" w:cs="Consolas" w:eastAsia="Consolas" w:hAnsi="Consolas"/>
          <w:sz w:val="18"/>
          <w:szCs w:val="18"/>
        </w:rPr>
        <w:t xml:space="preserve">  FROM Transaction t</w:t>
      </w:r>
    </w:p>
    <w:p>
      <w:pPr>
        <w:shd w:fill="F3F4F6" w:color="auto" w:val="clear"/>
        <w:spacing w:after="140" w:before="60"/>
      </w:pPr>
      <w:r>
        <w:rPr>
          <w:rFonts w:ascii="Consolas" w:cs="Consolas" w:eastAsia="Consolas" w:hAnsi="Consolas"/>
          <w:sz w:val="18"/>
          <w:szCs w:val="18"/>
        </w:rPr>
        <w:t xml:space="preserve">  JOIN Account a ON t.account_id = a.account_id</w:t>
      </w:r>
    </w:p>
    <w:p>
      <w:pPr>
        <w:shd w:fill="F3F4F6" w:color="auto" w:val="clear"/>
        <w:spacing w:after="140" w:before="60"/>
      </w:pPr>
      <w:r>
        <w:rPr>
          <w:rFonts w:ascii="Consolas" w:cs="Consolas" w:eastAsia="Consolas" w:hAnsi="Consolas"/>
          <w:sz w:val="18"/>
          <w:szCs w:val="18"/>
        </w:rPr>
        <w:t xml:space="preserve">  WHERE a.user_id = %s</w:t>
      </w:r>
    </w:p>
    <w:p>
      <w:pPr>
        <w:shd w:fill="F3F4F6" w:color="auto" w:val="clear"/>
        <w:spacing w:after="140" w:before="60"/>
      </w:pPr>
      <w:r>
        <w:rPr>
          <w:rFonts w:ascii="Consolas" w:cs="Consolas" w:eastAsia="Consolas" w:hAnsi="Consolas"/>
          <w:sz w:val="18"/>
          <w:szCs w:val="18"/>
        </w:rPr>
        <w:t xml:space="preserve">    AND t.type = 'expense'</w:t>
      </w:r>
    </w:p>
    <w:p>
      <w:pPr>
        <w:shd w:fill="F3F4F6" w:color="auto" w:val="clear"/>
        <w:spacing w:after="140" w:before="60"/>
      </w:pPr>
      <w:r>
        <w:rPr>
          <w:rFonts w:ascii="Consolas" w:cs="Consolas" w:eastAsia="Consolas" w:hAnsi="Consolas"/>
          <w:sz w:val="18"/>
          <w:szCs w:val="18"/>
        </w:rPr>
        <w:t xml:space="preserve">    AND DATE_FORMAT(t.date, '%Y-%m') = %s</w:t>
      </w:r>
    </w:p>
    <w:p>
      <w:pPr>
        <w:shd w:fill="F3F4F6" w:color="auto" w:val="clear"/>
        <w:spacing w:after="140" w:before="60"/>
      </w:pPr>
      <w:r>
        <w:rPr>
          <w:rFonts w:ascii="Consolas" w:cs="Consolas" w:eastAsia="Consolas" w:hAnsi="Consolas"/>
          <w:sz w:val="18"/>
          <w:szCs w:val="18"/>
        </w:rPr>
        <w:t xml:space="preserve">  GROUP BY t.category_id</w:t>
      </w:r>
    </w:p>
    <w:p>
      <w:pPr>
        <w:shd w:fill="F3F4F6" w:color="auto" w:val="clear"/>
        <w:spacing w:after="140" w:before="60"/>
      </w:pPr>
      <w:r>
        <w:rPr>
          <w:rFonts w:ascii="Consolas" w:cs="Consolas" w:eastAsia="Consolas" w:hAnsi="Consolas"/>
          <w:sz w:val="18"/>
          <w:szCs w:val="18"/>
        </w:rPr>
        <w:t xml:space="preserve">)</w:t>
      </w:r>
    </w:p>
    <w:p>
      <w:pPr>
        <w:shd w:fill="F3F4F6" w:color="auto" w:val="clear"/>
        <w:spacing w:after="140" w:before="60"/>
      </w:pPr>
      <w:r>
        <w:rPr>
          <w:rFonts w:ascii="Consolas" w:cs="Consolas" w:eastAsia="Consolas" w:hAnsi="Consolas"/>
          <w:sz w:val="18"/>
          <w:szCs w:val="18"/>
        </w:rPr>
        <w:t xml:space="preserve">SELECT b.budget_id, c.name AS category, b.monthly_limit,</w:t>
      </w:r>
    </w:p>
    <w:p>
      <w:pPr>
        <w:shd w:fill="F3F4F6" w:color="auto" w:val="clear"/>
        <w:spacing w:after="140" w:before="60"/>
      </w:pPr>
      <w:r>
        <w:rPr>
          <w:rFonts w:ascii="Consolas" w:cs="Consolas" w:eastAsia="Consolas" w:hAnsi="Consolas"/>
          <w:sz w:val="18"/>
          <w:szCs w:val="18"/>
        </w:rPr>
        <w:t xml:space="preserve">       COALESCE(s.spent_amount, 0) AS spent</w:t>
      </w:r>
    </w:p>
    <w:p>
      <w:pPr>
        <w:shd w:fill="F3F4F6" w:color="auto" w:val="clear"/>
        <w:spacing w:after="140" w:before="60"/>
      </w:pPr>
      <w:r>
        <w:rPr>
          <w:rFonts w:ascii="Consolas" w:cs="Consolas" w:eastAsia="Consolas" w:hAnsi="Consolas"/>
          <w:sz w:val="18"/>
          <w:szCs w:val="18"/>
        </w:rPr>
        <w:t xml:space="preserve">FROM Budget b</w:t>
      </w:r>
    </w:p>
    <w:p>
      <w:pPr>
        <w:shd w:fill="F3F4F6" w:color="auto" w:val="clear"/>
        <w:spacing w:after="140" w:before="60"/>
      </w:pPr>
      <w:r>
        <w:rPr>
          <w:rFonts w:ascii="Consolas" w:cs="Consolas" w:eastAsia="Consolas" w:hAnsi="Consolas"/>
          <w:sz w:val="18"/>
          <w:szCs w:val="18"/>
        </w:rPr>
        <w:t xml:space="preserve">JOIN Category c ON b.category_id = c.category_id</w:t>
      </w:r>
    </w:p>
    <w:p>
      <w:pPr>
        <w:shd w:fill="F3F4F6" w:color="auto" w:val="clear"/>
        <w:spacing w:after="140" w:before="60"/>
      </w:pPr>
      <w:r>
        <w:rPr>
          <w:rFonts w:ascii="Consolas" w:cs="Consolas" w:eastAsia="Consolas" w:hAnsi="Consolas"/>
          <w:sz w:val="18"/>
          <w:szCs w:val="18"/>
        </w:rPr>
        <w:t xml:space="preserve">LEFT JOIN spent s ON s.category_id = b.category_id</w:t>
      </w:r>
    </w:p>
    <w:p>
      <w:pPr>
        <w:shd w:fill="F3F4F6" w:color="auto" w:val="clear"/>
        <w:spacing w:after="140" w:before="60"/>
      </w:pPr>
      <w:r>
        <w:rPr>
          <w:rFonts w:ascii="Consolas" w:cs="Consolas" w:eastAsia="Consolas" w:hAnsi="Consolas"/>
          <w:sz w:val="18"/>
          <w:szCs w:val="18"/>
        </w:rPr>
        <w:t xml:space="preserve">WHERE b.user_id = %s AND b.month = %s;</w:t>
      </w:r>
    </w:p>
    <w:p>
      <w:pPr>
        <w:spacing w:after="160"/>
        <w:jc w:val="both"/>
      </w:pPr>
      <w:r>
        <w:t xml:space="preserve">The application layer then computes the daily spending rate (spent / days_elapsed), projects end-of-month spending (spent + daily_rate × days_remaining), and classifies each category:</w:t>
      </w:r>
    </w:p>
    <w:p>
      <w:pPr>
        <w:pStyle w:val="ListParagraph"/>
        <w:numPr>
          <w:ilvl w:val="0"/>
          <w:numId w:val="2"/>
        </w:numPr>
        <w:spacing w:after="80"/>
      </w:pPr>
      <w:r>
        <w:rPr>
          <w:b/>
          <w:bCs/>
        </w:rPr>
        <w:t xml:space="preserve">On Track: </w:t>
      </w:r>
      <w:r>
        <w:t xml:space="preserve">projected ≤ 90% of the monthly limit.</w:t>
      </w:r>
    </w:p>
    <w:p>
      <w:pPr>
        <w:pStyle w:val="ListParagraph"/>
        <w:numPr>
          <w:ilvl w:val="0"/>
          <w:numId w:val="2"/>
        </w:numPr>
        <w:spacing w:after="80"/>
      </w:pPr>
      <w:r>
        <w:rPr>
          <w:b/>
          <w:bCs/>
        </w:rPr>
        <w:t xml:space="preserve">At Risk: </w:t>
      </w:r>
      <w:r>
        <w:t xml:space="preserve">projected between 90% and 100% of the monthly limit.</w:t>
      </w:r>
    </w:p>
    <w:p>
      <w:pPr>
        <w:pStyle w:val="ListParagraph"/>
        <w:numPr>
          <w:ilvl w:val="0"/>
          <w:numId w:val="2"/>
        </w:numPr>
        <w:spacing w:after="80"/>
      </w:pPr>
      <w:r>
        <w:rPr>
          <w:b/>
          <w:bCs/>
        </w:rPr>
        <w:t xml:space="preserve">Over Budget: </w:t>
      </w:r>
      <w:r>
        <w:t xml:space="preserve">projected exceeds the monthly limit; the UI displays the projected overage.</w:t>
      </w:r>
    </w:p>
    <w:p>
      <w:pPr>
        <w:spacing w:after="160"/>
        <w:jc w:val="both"/>
      </w:pPr>
      <w:r>
        <w:t xml:space="preserve">The date arithmetic is non-trivial because the forecast must behave correctly for past months (days_elapsed equals the number of days in the month), the current month (days_elapsed equals today's day number), and future months (days_elapsed defaults to 1 so the daily-rate ratio stays defined). Leap years are handled by Python's calendar.monthrange, which correctly returns 29 for February 2024 and 28 for February 2023.</w:t>
      </w:r>
    </w:p>
    <w:p>
      <w:pPr>
        <w:spacing w:after="160"/>
        <w:jc w:val="both"/>
      </w:pPr>
      <w:r>
        <w:t xml:space="preserve">This function is technically challenging under the rubric's definition for three reasons: it joins four tables in a single query pipeline (Transaction, Account, Category, Budget); it uses aggregate functions and a CTE rather than basic SELECT statements; and it blends SQL results with date arithmetic that must handle month-boundary edge cases that ordinary CRUD operations never encounter.</w:t>
      </w:r>
    </w:p>
    <w:p>
      <w:pPr>
        <w:pStyle w:val="Heading1"/>
        <w:spacing w:after="160" w:before="360"/>
      </w:pPr>
      <w:r>
        <w:rPr>
          <w:b/>
          <w:bCs/>
        </w:rPr>
        <w:t xml:space="preserve">4. Implementation Details</w:t>
      </w:r>
    </w:p>
    <w:p>
      <w:pPr>
        <w:spacing w:after="160"/>
        <w:jc w:val="both"/>
      </w:pPr>
      <w:r>
        <w:t xml:space="preserve">SpendSmart is built on a conventional three-tier web architecture: a MySQL database tier, a Python Flask application tier, and a Jinja2-rendered HTML front end. Every layer uses stable, widely documented components that map directly to the technologies covered in CS 4710.</w:t>
      </w:r>
    </w:p>
    <w:p>
      <w:pPr>
        <w:pStyle w:val="Heading2"/>
        <w:spacing w:after="120" w:before="240"/>
      </w:pPr>
      <w:r>
        <w:rPr>
          <w:b/>
          <w:bCs/>
        </w:rPr>
        <w:t xml:space="preserve">4.1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800"/>
        <w:gridCol w:w="1760"/>
      </w:tblGrid>
      <w:tr>
        <w:trPr>
          <w:tblHeader/>
        </w:trPr>
        <w:tc>
          <w:tcPr>
            <w:tcW w:type="dxa" w:w="1800"/>
            <w:tcBorders>
              <w:top w:val="single" w:color="B0B6BE" w:sz="4"/>
              <w:left w:val="single" w:color="B0B6BE" w:sz="4"/>
              <w:bottom w:val="single" w:color="B0B6BE" w:sz="4"/>
              <w:right w:val="single" w:color="B0B6BE" w:sz="4"/>
            </w:tcBorders>
            <w:shd w:fill="E5E7EB" w:color="auto" w:val="clear"/>
            <w:tcMar>
              <w:top w:type="dxa" w:w="80"/>
              <w:left w:type="dxa" w:w="100"/>
              <w:bottom w:type="dxa" w:w="80"/>
              <w:right w:type="dxa" w:w="100"/>
            </w:tcMar>
          </w:tcPr>
          <w:p>
            <w:r>
              <w:rPr>
                <w:b/>
                <w:bCs/>
                <w:sz w:val="20"/>
                <w:szCs w:val="20"/>
              </w:rPr>
              <w:t xml:space="preserve">Layer</w:t>
            </w:r>
          </w:p>
        </w:tc>
        <w:tc>
          <w:tcPr>
            <w:tcW w:type="dxa" w:w="5800"/>
            <w:tcBorders>
              <w:top w:val="single" w:color="B0B6BE" w:sz="4"/>
              <w:left w:val="single" w:color="B0B6BE" w:sz="4"/>
              <w:bottom w:val="single" w:color="B0B6BE" w:sz="4"/>
              <w:right w:val="single" w:color="B0B6BE" w:sz="4"/>
            </w:tcBorders>
            <w:shd w:fill="E5E7EB" w:color="auto" w:val="clear"/>
            <w:tcMar>
              <w:top w:type="dxa" w:w="80"/>
              <w:left w:type="dxa" w:w="100"/>
              <w:bottom w:type="dxa" w:w="80"/>
              <w:right w:type="dxa" w:w="100"/>
            </w:tcMar>
          </w:tcPr>
          <w:p>
            <w:r>
              <w:rPr>
                <w:b/>
                <w:bCs/>
                <w:sz w:val="20"/>
                <w:szCs w:val="20"/>
              </w:rPr>
              <w:t xml:space="preserve">Technology</w:t>
            </w:r>
          </w:p>
        </w:tc>
        <w:tc>
          <w:tcPr>
            <w:tcW w:type="dxa" w:w="1760"/>
            <w:tcBorders>
              <w:top w:val="single" w:color="B0B6BE" w:sz="4"/>
              <w:left w:val="single" w:color="B0B6BE" w:sz="4"/>
              <w:bottom w:val="single" w:color="B0B6BE" w:sz="4"/>
              <w:right w:val="single" w:color="B0B6BE" w:sz="4"/>
            </w:tcBorders>
            <w:shd w:fill="E5E7EB" w:color="auto" w:val="clear"/>
            <w:tcMar>
              <w:top w:type="dxa" w:w="80"/>
              <w:left w:type="dxa" w:w="100"/>
              <w:bottom w:type="dxa" w:w="80"/>
              <w:right w:type="dxa" w:w="100"/>
            </w:tcMar>
          </w:tcPr>
          <w:p>
            <w:r>
              <w:rPr>
                <w:b/>
                <w:bCs/>
                <w:sz w:val="20"/>
                <w:szCs w:val="20"/>
              </w:rPr>
              <w:t xml:space="preserve">Version</w:t>
            </w:r>
          </w:p>
        </w:tc>
      </w:tr>
      <w:tr>
        <w:trPr>
          <w:tblHeader w:val="false"/>
        </w:trPr>
        <w:tc>
          <w:tcPr>
            <w:tcW w:type="dxa" w:w="18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Database</w:t>
            </w:r>
          </w:p>
        </w:tc>
        <w:tc>
          <w:tcPr>
            <w:tcW w:type="dxa" w:w="58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MySQL Server</w:t>
            </w:r>
          </w:p>
        </w:tc>
        <w:tc>
          <w:tcPr>
            <w:tcW w:type="dxa" w:w="176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8.0 (tested on 9.6 via Homebrew)</w:t>
            </w:r>
          </w:p>
        </w:tc>
      </w:tr>
      <w:tr>
        <w:trPr>
          <w:tblHeader w:val="false"/>
        </w:trPr>
        <w:tc>
          <w:tcPr>
            <w:tcW w:type="dxa" w:w="18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Backend</w:t>
            </w:r>
          </w:p>
        </w:tc>
        <w:tc>
          <w:tcPr>
            <w:tcW w:type="dxa" w:w="58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Python with Flask</w:t>
            </w:r>
          </w:p>
        </w:tc>
        <w:tc>
          <w:tcPr>
            <w:tcW w:type="dxa" w:w="176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Python 3.11, Flask 3.0.3</w:t>
            </w:r>
          </w:p>
        </w:tc>
      </w:tr>
      <w:tr>
        <w:trPr>
          <w:tblHeader w:val="false"/>
        </w:trPr>
        <w:tc>
          <w:tcPr>
            <w:tcW w:type="dxa" w:w="18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DB driver</w:t>
            </w:r>
          </w:p>
        </w:tc>
        <w:tc>
          <w:tcPr>
            <w:tcW w:type="dxa" w:w="58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pymysql with DictCursor</w:t>
            </w:r>
          </w:p>
        </w:tc>
        <w:tc>
          <w:tcPr>
            <w:tcW w:type="dxa" w:w="176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1.1.1</w:t>
            </w:r>
          </w:p>
        </w:tc>
      </w:tr>
      <w:tr>
        <w:trPr>
          <w:tblHeader w:val="false"/>
        </w:trPr>
        <w:tc>
          <w:tcPr>
            <w:tcW w:type="dxa" w:w="18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Templating</w:t>
            </w:r>
          </w:p>
        </w:tc>
        <w:tc>
          <w:tcPr>
            <w:tcW w:type="dxa" w:w="58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Jinja2 (ships with Flask)</w:t>
            </w:r>
          </w:p>
        </w:tc>
        <w:tc>
          <w:tcPr>
            <w:tcW w:type="dxa" w:w="176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w:t>
            </w:r>
          </w:p>
        </w:tc>
      </w:tr>
      <w:tr>
        <w:trPr>
          <w:tblHeader w:val="false"/>
        </w:trPr>
        <w:tc>
          <w:tcPr>
            <w:tcW w:type="dxa" w:w="18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Frontend</w:t>
            </w:r>
          </w:p>
        </w:tc>
        <w:tc>
          <w:tcPr>
            <w:tcW w:type="dxa" w:w="58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HTML5, CSS3, minimal vanilla JS</w:t>
            </w:r>
          </w:p>
        </w:tc>
        <w:tc>
          <w:tcPr>
            <w:tcW w:type="dxa" w:w="176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w:t>
            </w:r>
          </w:p>
        </w:tc>
      </w:tr>
      <w:tr>
        <w:trPr>
          <w:tblHeader w:val="false"/>
        </w:trPr>
        <w:tc>
          <w:tcPr>
            <w:tcW w:type="dxa" w:w="18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Testing</w:t>
            </w:r>
          </w:p>
        </w:tc>
        <w:tc>
          <w:tcPr>
            <w:tcW w:type="dxa" w:w="580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unittest + requests</w:t>
            </w:r>
          </w:p>
        </w:tc>
        <w:tc>
          <w:tcPr>
            <w:tcW w:type="dxa" w:w="1760"/>
            <w:tcBorders>
              <w:top w:val="single" w:color="B0B6BE" w:sz="4"/>
              <w:left w:val="single" w:color="B0B6BE" w:sz="4"/>
              <w:bottom w:val="single" w:color="B0B6BE" w:sz="4"/>
              <w:right w:val="single" w:color="B0B6BE" w:sz="4"/>
            </w:tcBorders>
            <w:tcMar>
              <w:top w:type="dxa" w:w="80"/>
              <w:left w:type="dxa" w:w="100"/>
              <w:bottom w:type="dxa" w:w="80"/>
              <w:right w:type="dxa" w:w="100"/>
            </w:tcMar>
          </w:tcPr>
          <w:p>
            <w:r>
              <w:rPr>
                <w:b w:val="false"/>
                <w:bCs w:val="false"/>
                <w:sz w:val="20"/>
                <w:szCs w:val="20"/>
              </w:rPr>
              <w:t xml:space="preserve">Python stdlib + 2.32.3</w:t>
            </w:r>
          </w:p>
        </w:tc>
      </w:tr>
    </w:tbl>
    <w:p>
      <w:pPr>
        <w:pStyle w:val="Heading2"/>
        <w:spacing w:after="120" w:before="240"/>
      </w:pPr>
      <w:r>
        <w:rPr>
          <w:b/>
          <w:bCs/>
        </w:rPr>
        <w:t xml:space="preserve">4.2 Request Flow</w:t>
      </w:r>
    </w:p>
    <w:p>
      <w:pPr>
        <w:spacing w:after="160"/>
        <w:jc w:val="both"/>
      </w:pPr>
      <w:r>
        <w:t xml:space="preserve">A browser request flows through five steps. (1) Flask matches the URL to a route in app.py. (2) The route reads query-string or form parameters and passes them to a validator that returns a cleaned dictionary and a per-field error map. (3) If validation passes, the route calls a parameterized SQL query through a pymysql DictCursor. (4) The result rows are passed to a Jinja2 template in the templates/ folder. (5) The rendered HTML is returned to the browser, where the responsive stylesheet in static/style.css controls presentation across viewport sizes.</w:t>
      </w:r>
    </w:p>
    <w:p>
      <w:pPr>
        <w:pStyle w:val="Heading2"/>
        <w:spacing w:after="120" w:before="240"/>
      </w:pPr>
      <w:r>
        <w:rPr>
          <w:b/>
          <w:bCs/>
        </w:rPr>
        <w:t xml:space="preserve">4.3 Front End</w:t>
      </w:r>
    </w:p>
    <w:p>
      <w:pPr>
        <w:spacing w:after="160"/>
        <w:jc w:val="both"/>
      </w:pPr>
      <w:r>
        <w:t xml:space="preserve">The interface uses semantic HTML forms submitted with standard POST redirects so that the back button and URL sharing work correctly. There is no single-page framework: each route fully renders its own page. JavaScript is limited to a confirmation dialog on destructive actions (delete) and minor form niceties. The stylesheet defines three responsive breakpoints — 900 pixels, 700 pixels, and 480 pixels — which reflow navigation, stat cards, filters, and tables for desktop, tablet, and mobile viewports.</w:t>
      </w:r>
    </w:p>
    <w:p>
      <w:pPr>
        <w:pStyle w:val="Heading2"/>
        <w:spacing w:after="120" w:before="240"/>
      </w:pPr>
      <w:r>
        <w:rPr>
          <w:b/>
          <w:bCs/>
        </w:rPr>
        <w:t xml:space="preserve">4.4 Front-End to Back-End Interaction</w:t>
      </w:r>
    </w:p>
    <w:p>
      <w:pPr>
        <w:spacing w:after="160"/>
        <w:jc w:val="both"/>
      </w:pPr>
      <w:r>
        <w:t xml:space="preserve">All database access is centralized in two helpers in app.py. The query(sql, params) helper opens a connection, executes a parameterized statement, and returns fetched rows. The execute(sql, params) helper does the same for INSERT, UPDATE, and DELETE and returns the last-inserted row id. Every call uses the %s placeholder form and passes user input as a parameter tuple, so PyMySQL escapes values correctly and no SQL injection is possible. When a MySQL error occurs (for example MySQL error code 1062, a duplicate-key violation), the friendly_db_error helper translates the error into a per-field message so the template can render it inline next to the offending input.</w:t>
      </w:r>
    </w:p>
    <w:p>
      <w:pPr>
        <w:pStyle w:val="Heading2"/>
        <w:spacing w:after="120" w:before="240"/>
      </w:pPr>
      <w:r>
        <w:rPr>
          <w:b/>
          <w:bCs/>
        </w:rPr>
        <w:t xml:space="preserve">4.5 Source Code Repository</w:t>
      </w:r>
    </w:p>
    <w:p>
      <w:pPr>
        <w:spacing w:after="140"/>
        <w:jc w:val="both"/>
      </w:pPr>
      <w:r>
        <w:t xml:space="preserve">The complete source code, including schema.sql, seed.sql, the Flask application, all Jinja2 templates, the stylesheet, and the end-to-end test suite, is publicly available at:</w:t>
      </w:r>
    </w:p>
    <w:p>
      <w:pPr>
        <w:spacing w:after="160" w:before="60"/>
        <w:jc w:val="center"/>
      </w:pPr>
      <w:hyperlink w:history="1" r:id="rIdgukp8zjfunliv9h06u0qm">
        <w:r>
          <w:rPr>
            <w:rStyle w:val="Hyperlink"/>
            <w:sz w:val="22"/>
            <w:szCs w:val="22"/>
          </w:rPr>
          <w:t xml:space="preserve">https://github.com/neharaneru13/spendsmart</w:t>
        </w:r>
      </w:hyperlink>
    </w:p>
    <w:p>
      <w:pPr>
        <w:spacing w:after="160"/>
        <w:jc w:val="both"/>
      </w:pPr>
      <w:r>
        <w:t xml:space="preserve">The repository README contains step-by-step reproduction instructions (install MySQL, create database, load schema and seed, create Python virtual environment, install dependencies, run app, run tests) so the grader can recreate the system from scratch.</w:t>
      </w:r>
    </w:p>
    <w:p>
      <w:pPr>
        <w:pStyle w:val="Heading1"/>
        <w:spacing w:after="160" w:before="360"/>
      </w:pPr>
      <w:r>
        <w:rPr>
          <w:b/>
          <w:bCs/>
        </w:rPr>
        <w:t xml:space="preserve">5. Evaluation of Group Members</w:t>
      </w:r>
    </w:p>
    <w:p>
      <w:pPr>
        <w:spacing w:after="160"/>
        <w:jc w:val="both"/>
      </w:pPr>
      <w:r>
        <w:t xml:space="preserve">SpendSmart is a solo project. The original teammate was unable to share access to the group's source repository before the Stage 5 deadline, so the project was rebuilt end-to-end by a single author. All design decisions, database schema, SQL queries, Flask routes, templates, styling, validation, testing, and written documentation are the work of Neha Raneru.</w:t>
      </w:r>
    </w:p>
    <w:p>
      <w:pPr>
        <w:spacing w:after="160"/>
        <w:jc w:val="both"/>
      </w:pPr>
      <w:r>
        <w:t xml:space="preserve">Self-evaluation: 10/10. Every deliverable required by Stage 5 — a five-table BCNF schema, six basic functions, one advanced function, a 20-minute demo, a GitHub repository, and this final report — has been completed. Optional quality goals that went beyond the rubric (a 25-test automated test suite, inline validation with specific error messages, and responsive mobile styling) were also completed.</w:t>
      </w:r>
    </w:p>
    <w:p>
      <w:pPr>
        <w:pStyle w:val="Heading1"/>
        <w:spacing w:after="160" w:before="360"/>
      </w:pPr>
      <w:r>
        <w:rPr>
          <w:b/>
          <w:bCs/>
        </w:rPr>
        <w:t xml:space="preserve">6. Experiences</w:t>
      </w:r>
    </w:p>
    <w:p>
      <w:pPr>
        <w:pStyle w:val="Heading2"/>
        <w:spacing w:after="120" w:before="240"/>
      </w:pPr>
      <w:r>
        <w:rPr>
          <w:b/>
          <w:bCs/>
        </w:rPr>
        <w:t xml:space="preserve">6.1 What I Learned</w:t>
      </w:r>
    </w:p>
    <w:p>
      <w:pPr>
        <w:spacing w:after="160"/>
        <w:jc w:val="both"/>
      </w:pPr>
      <w:r>
        <w:t xml:space="preserve">The most important technical lesson was how a CTE fundamentally changes the readability of a multi-stage aggregation. Before this project, I would have written the forecast query as a nested subquery and struggled to understand it a week later. Structuring the query with WITH spent AS (...) named the intermediate result in a way that matched how I thought about the problem and made debugging far easier.</w:t>
      </w:r>
    </w:p>
    <w:p>
      <w:pPr>
        <w:spacing w:after="160"/>
        <w:jc w:val="both"/>
      </w:pPr>
      <w:r>
        <w:t xml:space="preserve">I also internalized why normalization matters in practice, not just on paper. Splitting Category out of Transaction (even though a category is 'just a string') meant that renaming a category is a single-row update instead of touching every transaction, and meant that a UNIQUE constraint on the name automatically prevents duplicates. These are the kinds of integrity guarantees that are easy to describe in class but only really land after you have written the INSERT statements yourself.</w:t>
      </w:r>
    </w:p>
    <w:p>
      <w:pPr>
        <w:spacing w:after="160"/>
        <w:jc w:val="both"/>
      </w:pPr>
      <w:r>
        <w:t xml:space="preserve">On the software engineering side, I learned that form validation is a two-sided problem. HTML5 attributes such as required, min, and type="email" catch the most obvious mistakes immediately, but a hostile or buggy client can bypass them, so the server must validate every field again before touching the database. Returning per-field error messages alongside the submitted values (rather than a generic flash) dramatically improves the user experience with minimal extra code.</w:t>
      </w:r>
    </w:p>
    <w:p>
      <w:pPr>
        <w:pStyle w:val="Heading2"/>
        <w:spacing w:after="120" w:before="240"/>
      </w:pPr>
      <w:r>
        <w:rPr>
          <w:b/>
          <w:bCs/>
        </w:rPr>
        <w:t xml:space="preserve">6.2 Hard Problems and How I Solved Them</w:t>
      </w:r>
    </w:p>
    <w:p>
      <w:pPr>
        <w:pStyle w:val="ListParagraph"/>
        <w:numPr>
          <w:ilvl w:val="0"/>
          <w:numId w:val="2"/>
        </w:numPr>
        <w:spacing w:after="80"/>
      </w:pPr>
      <w:r>
        <w:rPr>
          <w:b/>
          <w:bCs/>
        </w:rPr>
        <w:t xml:space="preserve">CTE syntax under MySQL 8: </w:t>
      </w:r>
      <w:r>
        <w:t xml:space="preserve">earlier MySQL versions do not support WITH clauses, so I verified the local install was on 8.0 or higher and wrote the forecast query with the CTE first. This kept the top-level SELECT readable.</w:t>
      </w:r>
    </w:p>
    <w:p>
      <w:pPr>
        <w:pStyle w:val="ListParagraph"/>
        <w:numPr>
          <w:ilvl w:val="0"/>
          <w:numId w:val="2"/>
        </w:numPr>
        <w:spacing w:after="80"/>
      </w:pPr>
      <w:r>
        <w:rPr>
          <w:b/>
          <w:bCs/>
        </w:rPr>
        <w:t xml:space="preserve">NULL handling with LEFT JOIN: </w:t>
      </w:r>
      <w:r>
        <w:t xml:space="preserve">the summary query uses LEFT JOIN so that categories with no transactions in the selected month are still enumerated, and COALESCE(SUM(amount), 0) prevents NULL totals. Empty-state rendering is then driven by a HAVING total &gt; 0 filter plus a Jinja2 {% else %} clause for the zero-row case.</w:t>
      </w:r>
    </w:p>
    <w:p>
      <w:pPr>
        <w:pStyle w:val="ListParagraph"/>
        <w:numPr>
          <w:ilvl w:val="0"/>
          <w:numId w:val="2"/>
        </w:numPr>
        <w:spacing w:after="80"/>
      </w:pPr>
      <w:r>
        <w:rPr>
          <w:b/>
          <w:bCs/>
        </w:rPr>
        <w:t xml:space="preserve">Days-elapsed math across month boundaries: </w:t>
      </w:r>
      <w:r>
        <w:t xml:space="preserve">the forecast has to behave correctly when the requested month is in the past (use all days), the current month (use today's day number), or the future (use 1 so the daily-rate division is defined). Leap years add a further twist. I used Python's calendar.monthrange to get the number of days in the month and wrote a three-branch conditional that is covered by four dedicated tests.</w:t>
      </w:r>
    </w:p>
    <w:p>
      <w:pPr>
        <w:pStyle w:val="ListParagraph"/>
        <w:numPr>
          <w:ilvl w:val="0"/>
          <w:numId w:val="2"/>
        </w:numPr>
        <w:spacing w:after="80"/>
      </w:pPr>
      <w:r>
        <w:rPr>
          <w:b/>
          <w:bCs/>
        </w:rPr>
        <w:t xml:space="preserve">UNIQUE constraint on the Budget triple: </w:t>
      </w:r>
      <w:r>
        <w:t xml:space="preserve">duplicate budgets for the same user-category-month combination must be prevented, but a raw MySQL error 1062 is not a helpful user experience. I added a friendly_db_error helper that inspects the error code and returns a field-specific message ('A budget for this user, category, and month already exists.') that is rendered inline by the template.</w:t>
      </w:r>
    </w:p>
    <w:p>
      <w:pPr>
        <w:pStyle w:val="ListParagraph"/>
        <w:numPr>
          <w:ilvl w:val="0"/>
          <w:numId w:val="2"/>
        </w:numPr>
        <w:spacing w:after="80"/>
      </w:pPr>
      <w:r>
        <w:rPr>
          <w:b/>
          <w:bCs/>
        </w:rPr>
        <w:t xml:space="preserve">Dual MySQL installs: </w:t>
      </w:r>
      <w:r>
        <w:t xml:space="preserve">during setup on macOS, two MySQL installations (an old Oracle .dmg install and the new Homebrew install) competed for port 3306. Diagnosing this required reading the mysqld error log and unloading the Oracle LaunchDaemon. The README now includes the exact commands so future contributors do not get stuck.</w:t>
      </w:r>
    </w:p>
    <w:p>
      <w:pPr>
        <w:pStyle w:val="Heading2"/>
        <w:spacing w:after="120" w:before="240"/>
      </w:pPr>
      <w:r>
        <w:rPr>
          <w:b/>
          <w:bCs/>
        </w:rPr>
        <w:t xml:space="preserve">6.3 Future Extensions</w:t>
      </w:r>
    </w:p>
    <w:p>
      <w:pPr>
        <w:spacing w:after="160"/>
        <w:jc w:val="both"/>
      </w:pPr>
      <w:r>
        <w:t xml:space="preserve">Several improvements would move SpendSmart closer to a production-grade system:</w:t>
      </w:r>
    </w:p>
    <w:p>
      <w:pPr>
        <w:pStyle w:val="ListParagraph"/>
        <w:numPr>
          <w:ilvl w:val="0"/>
          <w:numId w:val="2"/>
        </w:numPr>
        <w:spacing w:after="80"/>
      </w:pPr>
      <w:r>
        <w:t xml:space="preserve">Authentication: add Flask-Login with hashed passwords (bcrypt), sessions, and route-level access control so each user sees only their own data.</w:t>
      </w:r>
    </w:p>
    <w:p>
      <w:pPr>
        <w:pStyle w:val="ListParagraph"/>
        <w:numPr>
          <w:ilvl w:val="0"/>
          <w:numId w:val="2"/>
        </w:numPr>
        <w:spacing w:after="80"/>
      </w:pPr>
      <w:r>
        <w:t xml:space="preserve">Visualizations: embed Chart.js so the summary and forecast pages render time-series line charts and category donut charts alongside the existing tables.</w:t>
      </w:r>
    </w:p>
    <w:p>
      <w:pPr>
        <w:pStyle w:val="ListParagraph"/>
        <w:numPr>
          <w:ilvl w:val="0"/>
          <w:numId w:val="2"/>
        </w:numPr>
        <w:spacing w:after="80"/>
      </w:pPr>
      <w:r>
        <w:t xml:space="preserve">Recurring transactions: add a new Recurrence table so transactions like rent and paychecks are inserted automatically on a schedule.</w:t>
      </w:r>
    </w:p>
    <w:p>
      <w:pPr>
        <w:pStyle w:val="ListParagraph"/>
        <w:numPr>
          <w:ilvl w:val="0"/>
          <w:numId w:val="2"/>
        </w:numPr>
        <w:spacing w:after="80"/>
      </w:pPr>
      <w:r>
        <w:t xml:space="preserve">Mobile PWA: promote the responsive site to a Progressive Web App with an install prompt, offline cache, and native-feeling home-screen icon.</w:t>
      </w:r>
    </w:p>
    <w:p>
      <w:pPr>
        <w:pStyle w:val="ListParagraph"/>
        <w:numPr>
          <w:ilvl w:val="0"/>
          <w:numId w:val="2"/>
        </w:numPr>
        <w:spacing w:after="80"/>
      </w:pPr>
      <w:r>
        <w:t xml:space="preserve">Multi-user households: extend the schema with a Household table to let spouses or roommates share accounts and budgets while keeping individual transaction attribution.</w:t>
      </w:r>
    </w:p>
    <w:p>
      <w:pPr>
        <w:pStyle w:val="ListParagraph"/>
        <w:numPr>
          <w:ilvl w:val="0"/>
          <w:numId w:val="2"/>
        </w:numPr>
        <w:spacing w:after="80"/>
      </w:pPr>
      <w:r>
        <w:t xml:space="preserve">Import from CSV: many banks already export transaction history as CSV; a bulk-import route would make migration from a user's existing spreadsheet trivial.</w:t>
      </w:r>
    </w:p>
    <w:p>
      <w:pPr>
        <w:pStyle w:val="Heading1"/>
        <w:spacing w:after="160" w:before="360"/>
      </w:pPr>
      <w:r>
        <w:rPr>
          <w:b/>
          <w:bCs/>
        </w:rPr>
        <w:t xml:space="preserve">7. References</w:t>
      </w:r>
    </w:p>
    <w:p>
      <w:pPr>
        <w:spacing w:after="160"/>
        <w:jc w:val="both"/>
      </w:pPr>
      <w:r>
        <w:t xml:space="preserve">The following references supported design, implementation, and documentation decisions throughout the project.</w:t>
      </w:r>
    </w:p>
    <w:p>
      <w:pPr>
        <w:pStyle w:val="ListParagraph"/>
        <w:numPr>
          <w:ilvl w:val="0"/>
          <w:numId w:val="2"/>
        </w:numPr>
        <w:spacing w:after="80"/>
      </w:pPr>
      <w:r>
        <w:t xml:space="preserve">Pallets Projects. Flask Documentation. https://flask.palletsprojects.com/ (accessed April 2026).</w:t>
      </w:r>
    </w:p>
    <w:p>
      <w:pPr>
        <w:pStyle w:val="ListParagraph"/>
        <w:numPr>
          <w:ilvl w:val="0"/>
          <w:numId w:val="2"/>
        </w:numPr>
        <w:spacing w:after="80"/>
      </w:pPr>
      <w:r>
        <w:t xml:space="preserve">Oracle Corporation. MySQL 8.0 Reference Manual — WITH (Common Table Expressions). https://dev.mysql.com/doc/refman/8.0/en/with.html (accessed April 2026).</w:t>
      </w:r>
    </w:p>
    <w:p>
      <w:pPr>
        <w:pStyle w:val="ListParagraph"/>
        <w:numPr>
          <w:ilvl w:val="0"/>
          <w:numId w:val="2"/>
        </w:numPr>
        <w:spacing w:after="80"/>
      </w:pPr>
      <w:r>
        <w:t xml:space="preserve">Oracle Corporation. MySQL 8.0 Reference Manual — Constraint and Data Integrity. https://dev.mysql.com/doc/refman/8.0/en/constraints.html (accessed April 2026).</w:t>
      </w:r>
    </w:p>
    <w:p>
      <w:pPr>
        <w:pStyle w:val="ListParagraph"/>
        <w:numPr>
          <w:ilvl w:val="0"/>
          <w:numId w:val="2"/>
        </w:numPr>
        <w:spacing w:after="80"/>
      </w:pPr>
      <w:r>
        <w:t xml:space="preserve">PyMySQL Contributors. PyMySQL Documentation. https://pymysql.readthedocs.io/ (accessed April 2026).</w:t>
      </w:r>
    </w:p>
    <w:p>
      <w:pPr>
        <w:pStyle w:val="ListParagraph"/>
        <w:numPr>
          <w:ilvl w:val="0"/>
          <w:numId w:val="2"/>
        </w:numPr>
        <w:spacing w:after="80"/>
      </w:pPr>
      <w:r>
        <w:t xml:space="preserve">Elmasri, R. and Navathe, S. B. Fundamentals of Database Systems, 7th Edition. Pearson, 2015. (BCNF and functional dependencies, Chapters 15-16; relational algebra and SQL, Chapters 6-8.)</w:t>
      </w:r>
    </w:p>
    <w:p>
      <w:pPr>
        <w:pStyle w:val="ListParagraph"/>
        <w:numPr>
          <w:ilvl w:val="0"/>
          <w:numId w:val="2"/>
        </w:numPr>
        <w:spacing w:after="80"/>
      </w:pPr>
      <w:r>
        <w:t xml:space="preserve">Sommerville, I. Software Engineering, 10th Edition. Pearson, 2016. (Requirements analysis and systems architecture, Chapters 4 and 6.)</w:t>
      </w:r>
    </w:p>
    <w:p>
      <w:pPr>
        <w:pStyle w:val="ListParagraph"/>
        <w:numPr>
          <w:ilvl w:val="0"/>
          <w:numId w:val="2"/>
        </w:numPr>
        <w:spacing w:after="80"/>
      </w:pPr>
      <w:r>
        <w:t xml:space="preserve">Mozilla Developer Network. HTML Forms and Form Validation. https://developer.mozilla.org/en-US/docs/Learn/Forms (accessed April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SpendSmart — CS 4710 Database Systems — Final Report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2233"/>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2233"/>
      <w:sz w:val="24"/>
      <w:szCs w:val="24"/>
    </w:rPr>
  </w:style>
  <w:style w:type="paragraph" w:styleId="Hyperlink">
    <w:name w:val="Hyperlink"/>
    <w:basedOn w:val="Normal"/>
    <w:rPr>
      <w:color w:val="1F4BB6"/>
      <w:u w:val="single" w:color="1F4BB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gukp8zjfunliv9h06u0qm" Type="http://schemas.openxmlformats.org/officeDocument/2006/relationships/hyperlink" Target="https://github.com/neharaneru13/spendsmart"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SpendSmart — Final Project Report</dc:title>
  <dc:creator>Neha Raneru</dc:creator>
  <dc:description>CS 4710 Database Systems — Spring 2026 — Stage 5 Final Report</dc:description>
  <cp:lastModifiedBy>Un-named</cp:lastModifiedBy>
  <cp:revision>1</cp:revision>
  <dcterms:created xsi:type="dcterms:W3CDTF">2026-04-18T02:46:43.203Z</dcterms:created>
  <dcterms:modified xsi:type="dcterms:W3CDTF">2026-04-18T02:46:43.204Z</dcterms:modified>
</cp:coreProperties>
</file>

<file path=docProps/custom.xml><?xml version="1.0" encoding="utf-8"?>
<Properties xmlns="http://schemas.openxmlformats.org/officeDocument/2006/custom-properties" xmlns:vt="http://schemas.openxmlformats.org/officeDocument/2006/docPropsVTypes"/>
</file>