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Predicting Clinical Trial Enrollment Failure</w:t>
      </w:r>
    </w:p>
    <w:p>
      <w:pPr>
        <w:spacing w:after="80"/>
        <w:jc w:val="center"/>
      </w:pPr>
      <w:r>
        <w:rPr>
          <w:i/>
          <w:iCs/>
          <w:sz w:val="24"/>
          <w:szCs w:val="24"/>
        </w:rPr>
        <w:t xml:space="preserve">An Analysis of Eligibility Criteria, Trial Design, and Early Termination Using the AACT Database</w:t>
      </w:r>
    </w:p>
    <w:p>
      <w:pPr>
        <w:spacing w:after="360"/>
        <w:jc w:val="center"/>
      </w:pPr>
      <w:r>
        <w:rPr>
          <w:color w:val="595959"/>
          <w:sz w:val="20"/>
          <w:szCs w:val="20"/>
        </w:rPr>
        <w:t xml:space="preserve">Capstone Project Proposal  |  Team: [Member 1], [Member 2], [Member 3], [Member 4], [Member 5]  |  [Date]</w:t>
      </w:r>
    </w:p>
    <w:p>
      <w:pPr>
        <w:pStyle w:val="Heading1"/>
      </w:pPr>
      <w:r>
        <w:t xml:space="preserve">1. Project Summary</w:t>
      </w:r>
    </w:p>
    <w:p>
      <w:pPr>
        <w:spacing w:after="160" w:line="276"/>
        <w:jc w:val="both"/>
      </w:pPr>
      <w:r>
        <w:t xml:space="preserve">Clinical trials are the primary mechanism through which new treatments are evaluated, yet a substantial fraction of registered trials, on the order of one in ten, ends before reaching its planned conclusion. Among trials that report a reason for stopping, insufficient patient accrual is the most frequently cited cause. Early termination wastes research funding, delays access to potentially beneficial therapies, and exposes enrolled participants to the burdens of research without producing a scientifically useful result. One factor that trial designers directly control is the set of eligibility criteria that determine who may enroll. Highly restrictive criteria can shrink the pool of eligible patients, but there is currently little quantitative guidance available to designers on how restrictive is too restrictive before a trial launches.</w:t>
      </w:r>
    </w:p>
    <w:p>
      <w:pPr>
        <w:spacing w:after="160" w:line="276"/>
        <w:jc w:val="both"/>
      </w:pPr>
      <w:r>
        <w:t xml:space="preserve">This project will use the Aggregate Analysis of ClinicalTrials.gov (AACT) database to (1) characterize the statistical patterns associated with clinical trial termination, (2) build a classification model that predicts whether a trial will complete or be terminated due to low enrollment using only information available at the trial’s start, and (3) quantify the incremental contribution of eligibility criteria to that prediction by comparing a model that includes structured eligibility features against a baseline model that does not. Finally, the project will address confounding by disease characteristics and deliver an interactive tool that allows a trial designer to assess the enrollment risk of a proposed set of eligibility criteria.</w:t>
      </w:r>
    </w:p>
    <w:p>
      <w:pPr>
        <w:pStyle w:val="Heading1"/>
      </w:pPr>
      <w:r>
        <w:t xml:space="preserve">2. Background and Motivation</w:t>
      </w:r>
    </w:p>
    <w:p>
      <w:pPr>
        <w:spacing w:after="160" w:line="276"/>
        <w:jc w:val="both"/>
      </w:pPr>
      <w:r>
        <w:t xml:space="preserve">ClinicalTrials.gov, maintained by the U.S. National Library of Medicine, is the largest public registry of clinical studies and contains records for more than 500,000 trials worldwide. Prior analyses of the registry have documented that termination is common and that recruitment difficulty is the leading reported reason. Separately, research in oncology has shown that many common eligibility exclusions can be relaxed without materially affecting safety or efficacy outcomes, while substantially increasing the number of eligible patients. Professional bodies such as the American Society of Clinical Oncology have also called for broadening eligibility criteria to make trials more representative.</w:t>
      </w:r>
    </w:p>
    <w:p>
      <w:pPr>
        <w:spacing w:after="160" w:line="276"/>
        <w:jc w:val="both"/>
      </w:pPr>
      <w:r>
        <w:t xml:space="preserve">Despite these findings, most existing work either describes termination at an aggregate level or studies eligibility criteria within a single disease area. Comparatively few studies have systematically converted free-text eligibility criteria into structured, quantitative features across a large and diverse set of trials and then evaluated their predictive and explanatory value for enrollment failure. This project aims to fill that gap and to translate the findings into a form that is useful to trial designers.</w:t>
      </w:r>
    </w:p>
    <w:p>
      <w:pPr>
        <w:pStyle w:val="Heading1"/>
      </w:pPr>
      <w:r>
        <w:t xml:space="preserve">3. Research Questions and Analytic Goals</w:t>
      </w:r>
    </w:p>
    <w:p>
      <w:pPr>
        <w:spacing w:after="160" w:line="276"/>
        <w:jc w:val="both"/>
      </w:pPr>
      <w:r>
        <w:t xml:space="preserve">The project is organized around the following research questions:</w:t>
      </w:r>
    </w:p>
    <w:p>
      <w:pPr>
        <w:pStyle w:val="ListParagraph"/>
        <w:numPr>
          <w:ilvl w:val="0"/>
          <w:numId w:val="2"/>
        </w:numPr>
        <w:spacing w:after="80" w:line="276"/>
      </w:pPr>
      <w:r>
        <w:rPr>
          <w:b/>
          <w:bCs/>
        </w:rPr>
        <w:t xml:space="preserve">RQ1 (Descriptive/Inferential): </w:t>
      </w:r>
      <w:r>
        <w:t xml:space="preserve">Which trial characteristics, including phase, therapeutic area, sponsor type, geography, and number of sites, are statistically associated with termination, and how has the termination rate changed over time?</w:t>
      </w:r>
    </w:p>
    <w:p>
      <w:pPr>
        <w:pStyle w:val="ListParagraph"/>
        <w:numPr>
          <w:ilvl w:val="0"/>
          <w:numId w:val="2"/>
        </w:numPr>
        <w:spacing w:after="80" w:line="276"/>
      </w:pPr>
      <w:r>
        <w:rPr>
          <w:b/>
          <w:bCs/>
        </w:rPr>
        <w:t xml:space="preserve">RQ2 (Measurement): </w:t>
      </w:r>
      <w:r>
        <w:t xml:space="preserve">Can free-text eligibility criteria be reliably converted into structured features and a single interpretable “strictness” score?</w:t>
      </w:r>
    </w:p>
    <w:p>
      <w:pPr>
        <w:pStyle w:val="ListParagraph"/>
        <w:numPr>
          <w:ilvl w:val="0"/>
          <w:numId w:val="2"/>
        </w:numPr>
        <w:spacing w:after="80" w:line="276"/>
      </w:pPr>
      <w:r>
        <w:rPr>
          <w:b/>
          <w:bCs/>
        </w:rPr>
        <w:t xml:space="preserve">RQ3 (Predictive): </w:t>
      </w:r>
      <w:r>
        <w:t xml:space="preserve">How accurately can termination due to low enrollment be predicted from information available at trial start, and how much does adding eligibility features improve performance over a design-only baseline?</w:t>
      </w:r>
    </w:p>
    <w:p>
      <w:pPr>
        <w:pStyle w:val="ListParagraph"/>
        <w:numPr>
          <w:ilvl w:val="0"/>
          <w:numId w:val="2"/>
        </w:numPr>
        <w:spacing w:after="80" w:line="276"/>
      </w:pPr>
      <w:r>
        <w:rPr>
          <w:b/>
          <w:bCs/>
        </w:rPr>
        <w:t xml:space="preserve">RQ4 (Explanatory/Causal): </w:t>
      </w:r>
      <w:r>
        <w:t xml:space="preserve">After adjusting for disease rarity, disease area, and competition from concurrent trials, does eligibility strictness remain associated with enrollment failure?</w:t>
      </w:r>
    </w:p>
    <w:p>
      <w:pPr>
        <w:pStyle w:val="ListParagraph"/>
        <w:numPr>
          <w:ilvl w:val="0"/>
          <w:numId w:val="2"/>
        </w:numPr>
        <w:spacing w:after="80" w:line="276"/>
      </w:pPr>
      <w:r>
        <w:rPr>
          <w:b/>
          <w:bCs/>
        </w:rPr>
        <w:t xml:space="preserve">RQ5 (Applied): </w:t>
      </w:r>
      <w:r>
        <w:t xml:space="preserve">Can these findings be packaged into a decision-support tool that flags high-risk eligibility criteria for trial designers?</w:t>
      </w:r>
    </w:p>
    <w:p>
      <w:pPr>
        <w:pStyle w:val="Heading1"/>
      </w:pPr>
      <w:r>
        <w:t xml:space="preserve">4. Data</w:t>
      </w:r>
    </w:p>
    <w:p>
      <w:pPr>
        <w:pStyle w:val="Heading2"/>
      </w:pPr>
      <w:r>
        <w:t xml:space="preserve">4.1 Primary Data Source</w:t>
      </w:r>
    </w:p>
    <w:p>
      <w:pPr>
        <w:spacing w:after="160" w:line="276"/>
        <w:jc w:val="both"/>
      </w:pPr>
      <w:r>
        <w:t xml:space="preserve">The primary data source is AACT (https://aact.ctti-clinicaltrials.org), a free, publicly available relational database maintained by the Clinical Trials Transformation Initiative (CTTI). AACT contains all information from ClinicalTrials.gov and is refreshed daily. It is accessible either as a hosted PostgreSQL database or as downloadable snapshots. To ensure reproducibility, the team will freeze a single snapshot and conduct all analyses on that version. The tables most relevant to this project are summarized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Table</w:t>
            </w:r>
          </w:p>
        </w:tc>
        <w:tc>
          <w:tcPr>
            <w:tcW w:type="dxa" w:w="3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Key Fields</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Purpose</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studies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overall_status, why_stopped, phase, start_date, enrollment, enrollment_type, study_type</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Outcome label and core design features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eligibilities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criteria (free text), minimum_age, maximum_age, gender, healthy_volunteers</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Eligibility features for NLP</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designs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allocation, masking, intervention_model, primary_purpose</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Trial design features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sponsors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agency_class (industry, NIH, other)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Sponsor type</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facilities / countries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site locations and counts</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Geographic and site-level features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conditions / browse_conditions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condition names, MeSH terms</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Disease area and confounding control</w:t>
            </w:r>
          </w:p>
        </w:tc>
      </w:tr>
    </w:tbl>
    <w:p>
      <w:pPr>
        <w:spacing w:after="200" w:before="80"/>
      </w:pPr>
      <w:r>
        <w:rPr>
          <w:i/>
          <w:iCs/>
          <w:color w:val="595959"/>
          <w:sz w:val="18"/>
          <w:szCs w:val="18"/>
        </w:rPr>
        <w:t xml:space="preserve">Table 1. Principal AACT tables used in the analysis. All tables are joined on the trial identifier nct_id.</w:t>
      </w:r>
    </w:p>
    <w:p>
      <w:pPr>
        <w:pStyle w:val="Heading2"/>
      </w:pPr>
      <w:r>
        <w:t xml:space="preserve">4.2 Supplementary Data Sources</w:t>
      </w:r>
    </w:p>
    <w:p>
      <w:pPr>
        <w:spacing w:after="160" w:line="276"/>
        <w:jc w:val="both"/>
      </w:pPr>
      <w:r>
        <w:t xml:space="preserve">To address confounding by disease characteristics, the AACT data will be supplemented with a rare-disease indicator derived from Orphanet, disease prevalence estimates from the Global Burden of Disease study where available, and a derived measure of recruitment competition defined as the number of other trials recruiting for the same condition during the same period. The ClinicalTrials.gov API (v2) and the registry’s record version history will be used to recover information as it existed at trial registration.</w:t>
      </w:r>
    </w:p>
    <w:p>
      <w:pPr>
        <w:pStyle w:val="Heading2"/>
      </w:pPr>
      <w:r>
        <w:t xml:space="preserve">4.3 Study Population and Outcome Definition</w:t>
      </w:r>
    </w:p>
    <w:p>
      <w:pPr>
        <w:spacing w:after="160" w:line="276"/>
        <w:jc w:val="both"/>
      </w:pPr>
      <w:r>
        <w:t xml:space="preserve">The analytic cohort will consist of interventional trials with start dates within a fixed window (tentatively 2008 to 2020), chosen so that the large majority of trials have reached a final status. The positive class will consist of trials with an overall status of “Terminated” whose stated reason for stopping indicates insufficient enrollment or accrual. The negative class will consist of trials with an overall status of “Completed.” Trials that are still active, that were withdrawn prior to enrolling any participants, or whose status is unknown will be excluded. Trials terminated for other reasons, such as safety, efficacy, or funding, will be excluded from the primary classification task but retained for the competing-risks analysis described in Section 5.2.</w:t>
      </w:r>
    </w:p>
    <w:p>
      <w:pPr>
        <w:pStyle w:val="Heading1"/>
      </w:pPr>
      <w:r>
        <w:t xml:space="preserve">5. Methods</w:t>
      </w:r>
    </w:p>
    <w:p>
      <w:pPr>
        <w:pStyle w:val="Heading2"/>
      </w:pPr>
      <w:r>
        <w:t xml:space="preserve">5.1 Data Engineering and Outcome Labeling</w:t>
      </w:r>
    </w:p>
    <w:p>
      <w:pPr>
        <w:spacing w:after="160" w:line="276"/>
        <w:jc w:val="both"/>
      </w:pPr>
      <w:r>
        <w:t xml:space="preserve">A reproducible pipeline will extract, clean, and join the relevant AACT tables into a single analysis dataset with one row per trial. Because the reason for termination is recorded as free text, the why_stopped field will be categorized into a fixed set of reasons (enrollment, funding, safety, efficacy, business/strategic, and other) using a combination of keyword rules and a large language model or zero-shot text classifier. A random sample of approximately 500 trials will be labeled manually by two team members, and agreement between the automated and manual labels will be reported using Cohen’s kappa.</w:t>
      </w:r>
    </w:p>
    <w:p>
      <w:pPr>
        <w:pStyle w:val="Heading2"/>
      </w:pPr>
      <w:r>
        <w:t xml:space="preserve">5.2 Statistical Analysis of Trial Termination</w:t>
      </w:r>
    </w:p>
    <w:p>
      <w:pPr>
        <w:spacing w:after="160" w:line="276"/>
        <w:jc w:val="both"/>
      </w:pPr>
      <w:r>
        <w:t xml:space="preserve">Descriptive statistics will characterize termination rates across phase, therapeutic area, sponsor type, country, number of sites, and start year. Bivariate associations will be assessed using chi-square and Mann-Whitney U tests, and a multivariable logistic regression will estimate adjusted odds ratios for termination. Because trial duration carries important information, a time-to-event analysis will also be conducted using Kaplan-Meier survival curves and Cox proportional hazards regression. Since trials may stop for several mutually exclusive reasons, a Fine-Gray competing-risks model will be used to estimate the subdistribution hazard of termination due specifically to low enrollment. Temporal trends, including the effects of policy changes and the COVID-19 pandemic, will be examined using interrupted time-series methods.</w:t>
      </w:r>
    </w:p>
    <w:p>
      <w:pPr>
        <w:pStyle w:val="Heading2"/>
      </w:pPr>
      <w:r>
        <w:t xml:space="preserve">5.3 Structuring Eligibility Criteria</w:t>
      </w:r>
    </w:p>
    <w:p>
      <w:pPr>
        <w:spacing w:after="160" w:line="276"/>
        <w:jc w:val="both"/>
      </w:pPr>
      <w:r>
        <w:t xml:space="preserve">Free-text eligibility criteria will be converted into structured features using biomedical natural language processing tools (for example, scispaCy or medspaCy) and schema-constrained extraction with a large language model. Extracted features will include the number of inclusion and exclusion criteria, age limits, laboratory value thresholds, comorbidity exclusions, prior-treatment requirements, and organ-function and pregnancy exclusions. These features will be combined into a composite strictness score. Extraction accuracy will be validated against a manually annotated sample of trials using precision, recall, and F1.</w:t>
      </w:r>
    </w:p>
    <w:p>
      <w:pPr>
        <w:pStyle w:val="Heading2"/>
      </w:pPr>
      <w:r>
        <w:t xml:space="preserve">5.4 Predictive Modeling</w:t>
      </w:r>
    </w:p>
    <w:p>
      <w:pPr>
        <w:spacing w:after="160" w:line="276"/>
        <w:jc w:val="both"/>
      </w:pPr>
      <w:r>
        <w:t xml:space="preserve">Two families of models will be compared. The baseline model will use only design and administrative features (phase, sponsor type, number of sites, planned enrollment, design characteristics, and disease area). The full model will add the structured eligibility features and, in an additional variant, a transformer-based representation of the raw criteria text using a clinical language model such as BioClinicalBERT. Candidate algorithms include regularized logistic regression, random forests, and gradient-boosted trees (XGBoost or LightGBM). Class imbalance will be addressed through class weighting and evaluated with threshold-independent metrics. Model interpretation will use SHAP values to identify the eligibility criteria that contribute most to predicted risk.</w:t>
      </w:r>
    </w:p>
    <w:p>
      <w:pPr>
        <w:pStyle w:val="Heading2"/>
      </w:pPr>
      <w:r>
        <w:t xml:space="preserve">5.5 Addressing Confounding</w:t>
      </w:r>
    </w:p>
    <w:p>
      <w:pPr>
        <w:spacing w:after="160" w:line="276"/>
        <w:jc w:val="both"/>
      </w:pPr>
      <w:r>
        <w:t xml:space="preserve">A central threat to interpretation is that strict eligibility criteria are more common in trials of rare or severe diseases, which are inherently difficult to recruit for. To separate the effect of eligibility strictness from that of disease characteristics, the team will use propensity score matching and inverse probability weighting on disease area, rarity, phase, and recruitment competition. As a complementary approach, mixed-effects logistic regression with condition as a random effect will be estimated. The robustness of the findings to unmeasured confounding will be quantified using E-values.</w:t>
      </w:r>
    </w:p>
    <w:p>
      <w:pPr>
        <w:pStyle w:val="Heading2"/>
      </w:pPr>
      <w:r>
        <w:t xml:space="preserve">5.6 Decision-Support Tool</w:t>
      </w:r>
    </w:p>
    <w:p>
      <w:pPr>
        <w:spacing w:after="160" w:line="276"/>
        <w:jc w:val="both"/>
      </w:pPr>
      <w:r>
        <w:t xml:space="preserve">The final component is an interactive web application, built with Streamlit, that allows a user to enter a proposed set of eligibility criteria and trial design parameters. The application will return a predicted risk of enrollment failure, highlight the criteria contributing most to that risk, and display historically similar trials and their outcomes.</w:t>
      </w:r>
    </w:p>
    <w:p>
      <w:pPr>
        <w:pStyle w:val="Heading1"/>
      </w:pPr>
      <w:r>
        <w:t xml:space="preserve">6. Evaluation Plan</w:t>
      </w:r>
    </w:p>
    <w:p>
      <w:pPr>
        <w:spacing w:after="160" w:line="276"/>
        <w:jc w:val="both"/>
      </w:pPr>
      <w:r>
        <w:t xml:space="preserve">Each component of the project will be evaluated with criteria appropriate to its goal, as summarized below.</w:t>
      </w:r>
    </w:p>
    <w:p>
      <w:pPr>
        <w:pStyle w:val="ListParagraph"/>
        <w:numPr>
          <w:ilvl w:val="0"/>
          <w:numId w:val="3"/>
        </w:numPr>
        <w:spacing w:after="80" w:line="276"/>
      </w:pPr>
      <w:r>
        <w:rPr>
          <w:b/>
          <w:bCs/>
        </w:rPr>
        <w:t xml:space="preserve">Outcome labeling: </w:t>
      </w:r>
      <w:r>
        <w:t xml:space="preserve">Cohen’s kappa between automated and manual labels on a held-out annotated sample; a target of κ ≥ 0.80.</w:t>
      </w:r>
    </w:p>
    <w:p>
      <w:pPr>
        <w:pStyle w:val="ListParagraph"/>
        <w:numPr>
          <w:ilvl w:val="0"/>
          <w:numId w:val="3"/>
        </w:numPr>
        <w:spacing w:after="80" w:line="276"/>
      </w:pPr>
      <w:r>
        <w:rPr>
          <w:b/>
          <w:bCs/>
        </w:rPr>
        <w:t xml:space="preserve">Eligibility extraction: </w:t>
      </w:r>
      <w:r>
        <w:t xml:space="preserve">precision, recall, and F1 for each extracted feature type against manual annotation.</w:t>
      </w:r>
    </w:p>
    <w:p>
      <w:pPr>
        <w:pStyle w:val="ListParagraph"/>
        <w:numPr>
          <w:ilvl w:val="0"/>
          <w:numId w:val="3"/>
        </w:numPr>
        <w:spacing w:after="80" w:line="276"/>
      </w:pPr>
      <w:r>
        <w:rPr>
          <w:b/>
          <w:bCs/>
        </w:rPr>
        <w:t xml:space="preserve">Predictive models: </w:t>
      </w:r>
      <w:r>
        <w:t xml:space="preserve">area under the ROC curve (AUROC), area under the precision-recall curve (AUPRC, emphasized because of class imbalance), F1 score, and calibration (Brier score and calibration plots). To mimic real-world use and prevent temporal leakage, models will be trained on earlier trials and tested on later trials rather than using a random split. The improvement attributable to eligibility features will be assessed by comparing the baseline and full models with bootstrapped confidence intervals and DeLong’s test for AUROC.</w:t>
      </w:r>
    </w:p>
    <w:p>
      <w:pPr>
        <w:pStyle w:val="ListParagraph"/>
        <w:numPr>
          <w:ilvl w:val="0"/>
          <w:numId w:val="3"/>
        </w:numPr>
        <w:spacing w:after="80" w:line="276"/>
      </w:pPr>
      <w:r>
        <w:rPr>
          <w:b/>
          <w:bCs/>
        </w:rPr>
        <w:t xml:space="preserve">Statistical and causal analyses: </w:t>
      </w:r>
      <w:r>
        <w:t xml:space="preserve">model diagnostics (including the proportional hazards assumption), covariate balance after matching (standardized mean differences below 0.1), and sensitivity analyses.</w:t>
      </w:r>
    </w:p>
    <w:p>
      <w:pPr>
        <w:pStyle w:val="ListParagraph"/>
        <w:numPr>
          <w:ilvl w:val="0"/>
          <w:numId w:val="3"/>
        </w:numPr>
        <w:spacing w:after="80" w:line="276"/>
      </w:pPr>
      <w:r>
        <w:rPr>
          <w:b/>
          <w:bCs/>
        </w:rPr>
        <w:t xml:space="preserve">Decision-support tool: </w:t>
      </w:r>
      <w:r>
        <w:t xml:space="preserve">functional testing and an informal usability review by peers.</w:t>
      </w:r>
    </w:p>
    <w:p>
      <w:pPr>
        <w:pStyle w:val="Heading1"/>
      </w:pPr>
      <w:r>
        <w:t xml:space="preserve">7. Challenges and Risks</w:t>
      </w:r>
    </w:p>
    <w:p>
      <w:pPr>
        <w:pStyle w:val="ListParagraph"/>
        <w:numPr>
          <w:ilvl w:val="0"/>
          <w:numId w:val="3"/>
        </w:numPr>
        <w:spacing w:after="80" w:line="276"/>
      </w:pPr>
      <w:r>
        <w:rPr>
          <w:b/>
          <w:bCs/>
        </w:rPr>
        <w:t xml:space="preserve">Data leakage. </w:t>
      </w:r>
      <w:r>
        <w:t xml:space="preserve">Several AACT fields are updated after a trial ends. Most importantly, the enrollment field changes from the anticipated to the actual number of participants, which would trivially reveal the outcome. Mitigation: restrict to fields known at registration, use anticipated enrollment only, and reconstruct baseline records from the registry’s version history where needed.</w:t>
      </w:r>
    </w:p>
    <w:p>
      <w:pPr>
        <w:pStyle w:val="ListParagraph"/>
        <w:numPr>
          <w:ilvl w:val="0"/>
          <w:numId w:val="3"/>
        </w:numPr>
        <w:spacing w:after="80" w:line="276"/>
      </w:pPr>
      <w:r>
        <w:rPr>
          <w:b/>
          <w:bCs/>
        </w:rPr>
        <w:t xml:space="preserve">Inconsistent labels. </w:t>
      </w:r>
      <w:r>
        <w:t xml:space="preserve">Reasons for termination are entered as unstructured free text and vary widely in wording and detail. Mitigation: combined rule-based and model-based classification with manual validation.</w:t>
      </w:r>
    </w:p>
    <w:p>
      <w:pPr>
        <w:pStyle w:val="ListParagraph"/>
        <w:numPr>
          <w:ilvl w:val="0"/>
          <w:numId w:val="3"/>
        </w:numPr>
        <w:spacing w:after="80" w:line="276"/>
      </w:pPr>
      <w:r>
        <w:rPr>
          <w:b/>
          <w:bCs/>
        </w:rPr>
        <w:t xml:space="preserve">Confounding. </w:t>
      </w:r>
      <w:r>
        <w:t xml:space="preserve">Trials with strict criteria are disproportionately conducted in rare or severe diseases, which are already difficult to recruit for. Mitigation: external disease covariates, matching and weighting, mixed-effects models, and E-value sensitivity analysis.</w:t>
      </w:r>
    </w:p>
    <w:p>
      <w:pPr>
        <w:pStyle w:val="ListParagraph"/>
        <w:numPr>
          <w:ilvl w:val="0"/>
          <w:numId w:val="3"/>
        </w:numPr>
        <w:spacing w:after="80" w:line="276"/>
      </w:pPr>
      <w:r>
        <w:rPr>
          <w:b/>
          <w:bCs/>
        </w:rPr>
        <w:t xml:space="preserve">Class imbalance. </w:t>
      </w:r>
      <w:r>
        <w:t xml:space="preserve">Terminations due to low enrollment are a minority class. Mitigation: class weighting and emphasis on AUPRC rather than accuracy.</w:t>
      </w:r>
    </w:p>
    <w:p>
      <w:pPr>
        <w:pStyle w:val="ListParagraph"/>
        <w:numPr>
          <w:ilvl w:val="0"/>
          <w:numId w:val="3"/>
        </w:numPr>
        <w:spacing w:after="80" w:line="276"/>
      </w:pPr>
      <w:r>
        <w:rPr>
          <w:b/>
          <w:bCs/>
        </w:rPr>
        <w:t xml:space="preserve">NLP complexity. </w:t>
      </w:r>
      <w:r>
        <w:t xml:space="preserve">Eligibility text is long, heterogeneous, and uses varied clinical terminology. Mitigation: begin with simple, high-value features and expand incrementally; validate on an annotated sample.</w:t>
      </w:r>
    </w:p>
    <w:p>
      <w:pPr>
        <w:pStyle w:val="Heading1"/>
      </w:pPr>
      <w:r>
        <w:t xml:space="preserve">8. Team Roles</w:t>
      </w:r>
    </w:p>
    <w:p>
      <w:pPr>
        <w:spacing w:after="160" w:line="276"/>
        <w:jc w:val="both"/>
      </w:pPr>
      <w:r>
        <w:t xml:space="preserve">The work is divided into five complementary workstreams, each owned by one team member, with shared responsibility for integration, the final report, and the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Member</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Workstream</w:t>
            </w:r>
          </w:p>
        </w:tc>
        <w:tc>
          <w:tcPr>
            <w:tcW w:type="dxa" w:w="4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Primary Responsibilities</w:t>
            </w:r>
          </w:p>
        </w:tc>
      </w:tr>
      <w:tr>
        <w:trPr>
          <w:tblHeader w:val="off"/>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[Member 1]</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Data Engineering &amp; Labeling</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AACT pipeline, leakage-safe feature set, why_stopped classification and validation</w:t>
            </w:r>
          </w:p>
        </w:tc>
      </w:tr>
      <w:tr>
        <w:trPr>
          <w:tblHeader w:val="off"/>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[Member 2]</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Statistical Analysis</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Descriptive statistics, logistic regression, survival and competing-risks models, trend analysis</w:t>
            </w:r>
          </w:p>
        </w:tc>
      </w:tr>
      <w:tr>
        <w:trPr>
          <w:tblHeader w:val="off"/>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[Member 3]</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Eligibility NLP</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Criteria extraction, strictness score, extraction validation</w:t>
            </w:r>
          </w:p>
        </w:tc>
      </w:tr>
      <w:tr>
        <w:trPr>
          <w:tblHeader w:val="off"/>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[Member 4]</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Predictive Modeling</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Baseline vs. full models, temporal validation, calibration, SHAP interpretation</w:t>
            </w:r>
          </w:p>
        </w:tc>
      </w:tr>
      <w:tr>
        <w:trPr>
          <w:tblHeader w:val="off"/>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[Member 5]</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Causal Analysis &amp; Tool</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External disease data, propensity methods, sensitivity analysis, Streamlit application</w:t>
            </w:r>
          </w:p>
        </w:tc>
      </w:tr>
    </w:tbl>
    <w:p>
      <w:pPr>
        <w:spacing w:after="200" w:before="80"/>
      </w:pPr>
      <w:r>
        <w:rPr>
          <w:i/>
          <w:iCs/>
          <w:color w:val="595959"/>
          <w:sz w:val="18"/>
          <w:szCs w:val="18"/>
        </w:rPr>
        <w:t xml:space="preserve">Table 2. Team workstreams and responsibilities.</w:t>
      </w:r>
    </w:p>
    <w:p>
      <w:pPr>
        <w:pStyle w:val="Heading1"/>
      </w:pPr>
      <w:r>
        <w:t xml:space="preserve">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Weeks</w:t>
            </w:r>
          </w:p>
        </w:tc>
        <w:tc>
          <w:tcPr>
            <w:tcW w:type="dxa" w:w="73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0"/>
            </w:pPr>
            <w:r>
              <w:rPr>
                <w:b/>
                <w:bCs/>
                <w:color w:val="FFFFFF"/>
                <w:sz w:val="20"/>
                <w:szCs w:val="20"/>
              </w:rPr>
              <w:t xml:space="preserve">Milestones</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1–3</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Snapshot frozen; data pipeline and cohort definition complete; initial why_stopped labeling; exploratory data analysis</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4–6</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Label validation complete; descriptive and inferential statistics; first version of eligibility feature extraction; baseline predictive model</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7–9</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Survival and competing-risks models; strictness score validated; full predictive model; external disease data integrated</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10–12</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Causal analysis and sensitivity analysis; model interpretation; decision-support tool prototype</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13–14</w:t>
            </w:r>
          </w:p>
        </w:tc>
        <w:tc>
          <w:tcPr>
            <w:tcW w:type="dxa" w:w="7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sz w:val="20"/>
                <w:szCs w:val="20"/>
              </w:rPr>
              <w:t xml:space="preserve">Integration, final report, presentation, and code release</w:t>
            </w:r>
          </w:p>
        </w:tc>
      </w:tr>
    </w:tbl>
    <w:p>
      <w:pPr>
        <w:spacing w:after="200" w:before="80"/>
      </w:pPr>
      <w:r>
        <w:rPr>
          <w:i/>
          <w:iCs/>
          <w:color w:val="595959"/>
          <w:sz w:val="18"/>
          <w:szCs w:val="18"/>
        </w:rPr>
        <w:t xml:space="preserve">Table 3. Proposed project timeline.</w:t>
      </w:r>
    </w:p>
    <w:p>
      <w:pPr>
        <w:pStyle w:val="Heading1"/>
      </w:pPr>
      <w:r>
        <w:t xml:space="preserve">10. Ethical Considerations</w:t>
      </w:r>
    </w:p>
    <w:p>
      <w:pPr>
        <w:spacing w:after="160" w:line="276"/>
        <w:jc w:val="both"/>
      </w:pPr>
      <w:r>
        <w:t xml:space="preserve">AACT contains only publicly registered, trial-level information and no individual patient data; therefore, the project does not involve human subjects research. Nevertheless, the team recognizes that predictive tools in this domain could be misused, for example, to justify narrowing eligibility in ways that further exclude underrepresented groups. The tool will be framed as decision support for broadening rather than restricting access, and the final report will discuss the potential impact of eligibility criteria on the representation of older adults, women, and patients with comorbidities.</w:t>
      </w:r>
    </w:p>
    <w:p>
      <w:pPr>
        <w:pStyle w:val="Heading1"/>
      </w:pPr>
      <w:r>
        <w:t xml:space="preserve">11. Expected Deliverables</w:t>
      </w:r>
    </w:p>
    <w:p>
      <w:pPr>
        <w:pStyle w:val="ListParagraph"/>
        <w:numPr>
          <w:ilvl w:val="0"/>
          <w:numId w:val="3"/>
        </w:numPr>
        <w:spacing w:after="80" w:line="276"/>
      </w:pPr>
      <w:r>
        <w:t xml:space="preserve">A reproducible, documented data pipeline and analysis dataset built from a frozen AACT snapshot.</w:t>
      </w:r>
    </w:p>
    <w:p>
      <w:pPr>
        <w:pStyle w:val="ListParagraph"/>
        <w:numPr>
          <w:ilvl w:val="0"/>
          <w:numId w:val="3"/>
        </w:numPr>
        <w:spacing w:after="80" w:line="276"/>
      </w:pPr>
      <w:r>
        <w:t xml:space="preserve">A statistical report characterizing the factors associated with trial termination.</w:t>
      </w:r>
    </w:p>
    <w:p>
      <w:pPr>
        <w:pStyle w:val="ListParagraph"/>
        <w:numPr>
          <w:ilvl w:val="0"/>
          <w:numId w:val="3"/>
        </w:numPr>
        <w:spacing w:after="80" w:line="276"/>
      </w:pPr>
      <w:r>
        <w:t xml:space="preserve">A validated eligibility-criteria feature set and strictness score.</w:t>
      </w:r>
    </w:p>
    <w:p>
      <w:pPr>
        <w:pStyle w:val="ListParagraph"/>
        <w:numPr>
          <w:ilvl w:val="0"/>
          <w:numId w:val="3"/>
        </w:numPr>
        <w:spacing w:after="80" w:line="276"/>
      </w:pPr>
      <w:r>
        <w:t xml:space="preserve">Trained and evaluated predictive models with a quantified estimate of the contribution of eligibility criteria.</w:t>
      </w:r>
    </w:p>
    <w:p>
      <w:pPr>
        <w:pStyle w:val="ListParagraph"/>
        <w:numPr>
          <w:ilvl w:val="0"/>
          <w:numId w:val="3"/>
        </w:numPr>
        <w:spacing w:after="80" w:line="276"/>
      </w:pPr>
      <w:r>
        <w:t xml:space="preserve">A confounding-adjusted analysis of eligibility strictness and enrollment failure.</w:t>
      </w:r>
    </w:p>
    <w:p>
      <w:pPr>
        <w:pStyle w:val="ListParagraph"/>
        <w:numPr>
          <w:ilvl w:val="0"/>
          <w:numId w:val="3"/>
        </w:numPr>
        <w:spacing w:after="80" w:line="276"/>
      </w:pPr>
      <w:r>
        <w:t xml:space="preserve">An interactive decision-support web application, a final written report, and a presentation.</w:t>
      </w:r>
    </w:p>
    <w:p>
      <w:pPr>
        <w:pStyle w:val="Heading1"/>
      </w:pPr>
      <w:r>
        <w:t xml:space="preserve">References</w:t>
      </w:r>
    </w:p>
    <w:p>
      <w:pPr>
        <w:pStyle w:val="ListParagraph"/>
        <w:numPr>
          <w:ilvl w:val="0"/>
          <w:numId w:val="4"/>
        </w:numPr>
        <w:spacing w:after="80"/>
      </w:pPr>
      <w:r>
        <w:rPr>
          <w:sz w:val="20"/>
          <w:szCs w:val="20"/>
        </w:rPr>
        <w:t xml:space="preserve">Tasneem A, Aberle L, Ananth H, et al. The database for aggregate analysis of ClinicalTrials.gov (AACT) and subsequent regrouping by clinical specialty. PLoS One. 2012;7(3):e33677.</w:t>
      </w:r>
    </w:p>
    <w:p>
      <w:pPr>
        <w:pStyle w:val="ListParagraph"/>
        <w:numPr>
          <w:ilvl w:val="0"/>
          <w:numId w:val="4"/>
        </w:numPr>
        <w:spacing w:after="80"/>
      </w:pPr>
      <w:r>
        <w:rPr>
          <w:sz w:val="20"/>
          <w:szCs w:val="20"/>
        </w:rPr>
        <w:t xml:space="preserve">Williams RJ, Tse T, DiPiazza K, Zarin DA. Terminated trials in the ClinicalTrials.gov results database: evaluation of availability of primary outcome data and reasons for termination. PLoS One. 2015;10(5):e0127242.</w:t>
      </w:r>
    </w:p>
    <w:p>
      <w:pPr>
        <w:pStyle w:val="ListParagraph"/>
        <w:numPr>
          <w:ilvl w:val="0"/>
          <w:numId w:val="4"/>
        </w:numPr>
        <w:spacing w:after="80"/>
      </w:pPr>
      <w:r>
        <w:rPr>
          <w:sz w:val="20"/>
          <w:szCs w:val="20"/>
        </w:rPr>
        <w:t xml:space="preserve">Liu R, Rizzo S, Whipple S, et al. Evaluating eligibility criteria of oncology trials using real-world data and AI. Nature. 2021;592(7855):629–633.</w:t>
      </w:r>
    </w:p>
    <w:p>
      <w:pPr>
        <w:pStyle w:val="ListParagraph"/>
        <w:numPr>
          <w:ilvl w:val="0"/>
          <w:numId w:val="4"/>
        </w:numPr>
        <w:spacing w:after="80"/>
      </w:pPr>
      <w:r>
        <w:rPr>
          <w:sz w:val="20"/>
          <w:szCs w:val="20"/>
        </w:rPr>
        <w:t xml:space="preserve">Kim ES, Bruinooge SS, Roberts S, et al. Broadening eligibility criteria to make clinical trials more representative: American Society of Clinical Oncology and Friends of Cancer Research joint research statement. J Clin Oncol. 2017;35(33):3737–3744.</w:t>
      </w:r>
    </w:p>
    <w:p>
      <w:pPr>
        <w:pStyle w:val="ListParagraph"/>
        <w:numPr>
          <w:ilvl w:val="0"/>
          <w:numId w:val="4"/>
        </w:numPr>
        <w:spacing w:after="80"/>
      </w:pPr>
      <w:r>
        <w:rPr>
          <w:sz w:val="20"/>
          <w:szCs w:val="20"/>
        </w:rPr>
        <w:t xml:space="preserve">Fine JP, Gray RJ. A proportional hazards model for the subdistribution of a competing risk. J Am Stat Assoc. 1999;94(446):496–509.</w:t>
      </w:r>
    </w:p>
    <w:p>
      <w:pPr>
        <w:pStyle w:val="ListParagraph"/>
        <w:numPr>
          <w:ilvl w:val="0"/>
          <w:numId w:val="4"/>
        </w:numPr>
        <w:spacing w:after="80"/>
      </w:pPr>
      <w:r>
        <w:rPr>
          <w:sz w:val="20"/>
          <w:szCs w:val="20"/>
        </w:rPr>
        <w:t xml:space="preserve">Lundberg SM, Lee SI. A unified approach to interpreting model predictions. Advances in Neural Information Processing Systems. 2017;30.</w:t>
      </w:r>
    </w:p>
    <w:p>
      <w:pPr>
        <w:pStyle w:val="ListParagraph"/>
        <w:numPr>
          <w:ilvl w:val="0"/>
          <w:numId w:val="4"/>
        </w:numPr>
        <w:spacing w:after="80"/>
      </w:pPr>
      <w:r>
        <w:rPr>
          <w:sz w:val="20"/>
          <w:szCs w:val="20"/>
        </w:rPr>
        <w:t xml:space="preserve">VanderWeele TJ, Ding P. Sensitivity analysis in observational research: introducing the E-value. Ann Intern Med. 2017;167(4):268–274.</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Clinical Trial Enrollment Failure - Proposal</dc:title>
  <dc:creator>Capstone Team</dc:creator>
  <cp:lastModifiedBy>Un-named</cp:lastModifiedBy>
  <cp:revision>1</cp:revision>
  <dcterms:created xsi:type="dcterms:W3CDTF">2026-10-07T22:09:45.600Z</dcterms:created>
  <dcterms:modified xsi:type="dcterms:W3CDTF">2026-10-07T22:09:45.601Z</dcterms:modified>
</cp:coreProperties>
</file>

<file path=docProps/custom.xml><?xml version="1.0" encoding="utf-8"?>
<Properties xmlns="http://schemas.openxmlformats.org/officeDocument/2006/custom-properties" xmlns:vt="http://schemas.openxmlformats.org/officeDocument/2006/docPropsVTypes"/>
</file>