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needs to adhere to GDPR because they conduct</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business and collect personal information from people worldwide, including the</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w:t>
      </w:r>
    </w:p>
    <w:p w:rsidR="00000000" w:rsidDel="00000000" w:rsidP="00000000" w:rsidRDefault="00000000" w:rsidRPr="00000000" w14:paraId="0000000D">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needs to adhere to PCI DSS because they store,</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accept, process, and transmit credit card information in person and online.</w:t>
      </w:r>
    </w:p>
    <w:p w:rsidR="00000000" w:rsidDel="00000000" w:rsidP="00000000" w:rsidRDefault="00000000" w:rsidRPr="00000000" w14:paraId="00000013">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4">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1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1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7">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9">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p>
    <w:p w:rsidR="00000000" w:rsidDel="00000000" w:rsidP="00000000" w:rsidRDefault="00000000" w:rsidRPr="00000000" w14:paraId="0000001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needs to establish and enforce appropriate user</w:t>
      </w:r>
    </w:p>
    <w:p w:rsidR="00000000" w:rsidDel="00000000" w:rsidP="00000000" w:rsidRDefault="00000000" w:rsidRPr="00000000" w14:paraId="0000001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for internal and external (third-party vendor) personnel to mitigate risk</w:t>
      </w:r>
    </w:p>
    <w:p w:rsidR="00000000" w:rsidDel="00000000" w:rsidP="00000000" w:rsidRDefault="00000000" w:rsidRPr="00000000" w14:paraId="0000001C">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and ensure data safety.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