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ind w:left="720"/>
        <w:rPr>
          <w:b/>
          <w:bCs/>
          <w:sz w:val="28"/>
          <w:szCs w:val="28"/>
        </w:rPr>
      </w:pPr>
      <w:r>
        <w:rPr>
          <w:b/>
          <w:bCs/>
          <w:sz w:val="28"/>
          <w:szCs w:val="28"/>
        </w:rPr>
        <w:lastRenderedPageBreak/>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ind w:left="720"/>
        <w:rPr>
          <w:b/>
          <w:bCs/>
          <w:sz w:val="28"/>
          <w:szCs w:val="28"/>
        </w:rPr>
      </w:pPr>
      <w:r>
        <w:rPr>
          <w:b/>
          <w:bCs/>
          <w:sz w:val="28"/>
          <w:szCs w:val="28"/>
        </w:rPr>
        <w:t xml:space="preserve">6.0 Functional Requirements </w:t>
      </w: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