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Default="004D51D6" w:rsidP="004D51D6">
      <w:pPr>
        <w:ind w:left="720"/>
        <w:rPr>
          <w:b/>
          <w:bCs/>
          <w:sz w:val="28"/>
          <w:szCs w:val="28"/>
        </w:rPr>
      </w:pPr>
      <w:r>
        <w:rPr>
          <w:b/>
          <w:bCs/>
          <w:sz w:val="28"/>
          <w:szCs w:val="28"/>
        </w:rPr>
        <w:lastRenderedPageBreak/>
        <w:t xml:space="preserve">5.0 Product Vision </w:t>
      </w:r>
    </w:p>
    <w:p w:rsidR="004D51D6" w:rsidRPr="004D51D6" w:rsidRDefault="004D51D6" w:rsidP="004D51D6">
      <w:pPr>
        <w:ind w:left="720"/>
        <w:rPr>
          <w:sz w:val="24"/>
          <w:szCs w:val="24"/>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w:t>
      </w: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