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32"/>
          <w:szCs w:val="32"/>
        </w:rPr>
        <w:t xml:space="preserve">Lab 10 (A1): Comparative Analysis of Machine Translation Models</w:t>
      </w:r>
    </w:p>
    <w:p>
      <w:pPr>
        <w:spacing w:after="400"/>
      </w:pPr>
      <w:r>
        <w:rPr>
          <w:rFonts w:ascii="Calibri" w:cs="Calibri" w:eastAsia="Calibri" w:hAnsi="Calibri"/>
          <w:i/>
          <w:iCs/>
          <w:sz w:val="24"/>
          <w:szCs w:val="24"/>
        </w:rPr>
        <w:t xml:space="preserve">A Comparative Study of RNN, Encoder–Decoder, Additive Attention, and Multiplicative Attention Architectures for English–Spanish Neural Machine Translation</w:t>
      </w:r>
    </w:p>
    <w:p>
      <w:pPr>
        <w:spacing w:after="160"/>
      </w:pPr>
      <w:r>
        <w:rPr>
          <w:rFonts w:ascii="Calibri" w:cs="Calibri" w:eastAsia="Calibri" w:hAnsi="Calibri"/>
          <w:sz w:val="22"/>
          <w:szCs w:val="22"/>
        </w:rPr>
        <w:t xml:space="preserve">Dataset: Spanish–English sentence pairs (ManyThings.org Anki dataset, spa-eng)</w:t>
      </w:r>
    </w:p>
    <w:p>
      <w:pPr>
        <w:spacing w:after="160"/>
      </w:pPr>
      <w:r>
        <w:rPr>
          <w:rFonts w:ascii="Calibri" w:cs="Calibri" w:eastAsia="Calibri" w:hAnsi="Calibri"/>
          <w:sz w:val="22"/>
          <w:szCs w:val="22"/>
        </w:rPr>
        <w:t xml:space="preserve">random_state used for train/val/test split: 24</w:t>
      </w:r>
    </w:p>
    <w:p>
      <w:pPr>
        <w:pStyle w:val="Heading1"/>
        <w:spacing w:after="200" w:before="400"/>
      </w:pPr>
      <w:r>
        <w:t xml:space="preserve">1. Introduction</w:t>
      </w:r>
    </w:p>
    <w:p>
      <w:pPr>
        <w:spacing w:after="160"/>
      </w:pPr>
      <w:r>
        <w:rPr>
          <w:rFonts w:ascii="Calibri" w:cs="Calibri" w:eastAsia="Calibri" w:hAnsi="Calibri"/>
          <w:sz w:val="22"/>
          <w:szCs w:val="22"/>
        </w:rPr>
        <w:t xml:space="preserve">Neural machine translation (NMT) has evolved substantially since the introduction of sequence-to-sequence learning. This project conducts a controlled comparative analysis of four progressively more sophisticated NMT architectures, trained and evaluated under identical experimental conditions, in order to isolate the effect of architectural choices on translation quality:</w:t>
      </w:r>
    </w:p>
    <w:p>
      <w:pPr>
        <w:pStyle w:val="ListParagraph"/>
        <w:numPr>
          <w:ilvl w:val="0"/>
          <w:numId w:val="1"/>
        </w:numPr>
        <w:spacing w:after="80"/>
      </w:pPr>
      <w:r>
        <w:rPr>
          <w:rFonts w:ascii="Calibri" w:cs="Calibri" w:eastAsia="Calibri" w:hAnsi="Calibri"/>
          <w:sz w:val="22"/>
          <w:szCs w:val="22"/>
        </w:rPr>
        <w:t xml:space="preserve">Model 1 — Recurrent Neural Network (RNN): a single-network baseline with no explicit encoder/decoder separation.</w:t>
      </w:r>
    </w:p>
    <w:p>
      <w:pPr>
        <w:pStyle w:val="ListParagraph"/>
        <w:numPr>
          <w:ilvl w:val="0"/>
          <w:numId w:val="1"/>
        </w:numPr>
        <w:spacing w:after="80"/>
      </w:pPr>
      <w:r>
        <w:rPr>
          <w:rFonts w:ascii="Calibri" w:cs="Calibri" w:eastAsia="Calibri" w:hAnsi="Calibri"/>
          <w:sz w:val="22"/>
          <w:szCs w:val="22"/>
        </w:rPr>
        <w:t xml:space="preserve">Model 2 — Encoder–Decoder: a classic sequence-to-sequence architecture (Sutskever et al., 2014) in which a dedicated encoder compresses the source sentence into a fixed-length context vector.</w:t>
      </w:r>
    </w:p>
    <w:p>
      <w:pPr>
        <w:pStyle w:val="ListParagraph"/>
        <w:numPr>
          <w:ilvl w:val="0"/>
          <w:numId w:val="1"/>
        </w:numPr>
        <w:spacing w:after="80"/>
      </w:pPr>
      <w:r>
        <w:rPr>
          <w:rFonts w:ascii="Calibri" w:cs="Calibri" w:eastAsia="Calibri" w:hAnsi="Calibri"/>
          <w:sz w:val="22"/>
          <w:szCs w:val="22"/>
        </w:rPr>
        <w:t xml:space="preserve">Model 3 — Encoder–Decoder with Additive Attention: extends Model 2 with Bahdanau-style attention (Bahdanau et al., 2015), allowing the decoder to attend over all encoder hidden states rather than relying on a single fixed vector.</w:t>
      </w:r>
    </w:p>
    <w:p>
      <w:pPr>
        <w:pStyle w:val="ListParagraph"/>
        <w:numPr>
          <w:ilvl w:val="0"/>
          <w:numId w:val="1"/>
        </w:numPr>
        <w:spacing w:after="80"/>
      </w:pPr>
      <w:r>
        <w:rPr>
          <w:rFonts w:ascii="Calibri" w:cs="Calibri" w:eastAsia="Calibri" w:hAnsi="Calibri"/>
          <w:sz w:val="22"/>
          <w:szCs w:val="22"/>
        </w:rPr>
        <w:t xml:space="preserve">Model 4 — Encoder–Decoder with Multiplicative Attention: extends Model 2 with Luong-style "general" attention (Luong et al., 2015), which computes alignment scores via a bilinear form rather than a feedforward network.</w:t>
      </w:r>
    </w:p>
    <w:p>
      <w:pPr>
        <w:spacing w:after="160"/>
      </w:pPr>
      <w:r>
        <w:rPr>
          <w:rFonts w:ascii="Calibri" w:cs="Calibri" w:eastAsia="Calibri" w:hAnsi="Calibri"/>
          <w:sz w:val="22"/>
          <w:szCs w:val="22"/>
        </w:rPr>
        <w:t xml:space="preserve">The motivation for this comparison is to empirically demonstrate the well-known "fixed-length bottleneck" problem in vanilla encoder–decoder architectures, and to evaluate whether — and how — attention mechanisms address it, as well as to compare the relative cost/benefit trade-off between additive and multiplicative attention formulations.</w:t>
      </w:r>
    </w:p>
    <w:p>
      <w:pPr>
        <w:pStyle w:val="Heading1"/>
        <w:spacing w:after="200" w:before="400"/>
      </w:pPr>
      <w:r>
        <w:t xml:space="preserve">2. Dataset and Preprocessing</w:t>
      </w:r>
    </w:p>
    <w:p>
      <w:pPr>
        <w:pStyle w:val="Heading2"/>
        <w:spacing w:after="150" w:before="300"/>
      </w:pPr>
      <w:r>
        <w:t xml:space="preserve">2.1 Dataset</w:t>
      </w:r>
    </w:p>
    <w:p>
      <w:pPr>
        <w:spacing w:after="160"/>
      </w:pPr>
      <w:r>
        <w:rPr>
          <w:rFonts w:ascii="Calibri" w:cs="Calibri" w:eastAsia="Calibri" w:hAnsi="Calibri"/>
          <w:sz w:val="22"/>
          <w:szCs w:val="22"/>
        </w:rPr>
        <w:t xml:space="preserve">The dataset used is the English–Spanish sentence pair collection from the ManyThings.org Anki Language Datasets repository (https://www.manythings.org/anki/). A subset of 20,000 sentence pairs was used for this study to keep training tractable while retaining sufficient data for meaningful comparison.</w:t>
      </w:r>
    </w:p>
    <w:p>
      <w:pPr>
        <w:pStyle w:val="Heading2"/>
        <w:spacing w:after="150" w:before="300"/>
      </w:pPr>
      <w:r>
        <w:t xml:space="preserve">2.2 Cleaning and Filtering</w:t>
      </w:r>
    </w:p>
    <w:p>
      <w:pPr>
        <w:spacing w:after="160"/>
      </w:pPr>
      <w:r>
        <w:rPr>
          <w:rFonts w:ascii="Calibri" w:cs="Calibri" w:eastAsia="Calibri" w:hAnsi="Calibri"/>
          <w:sz w:val="22"/>
          <w:szCs w:val="22"/>
        </w:rPr>
        <w:t xml:space="preserve">Each sentence pair was lowercased, punctuation was normalized (periods, exclamation marks, and question marks were separated from adjacent words), and non-alphabetic characters outside standard punctuation were removed. Sentence pairs were retained only if both the source and target sentence contained between 1 and 15 words, keeping training computationally tractable. All 20,000 pairs survived this filtering step, indicating the source dataset consists predominantly of short, simple sentences.</w:t>
      </w:r>
    </w:p>
    <w:p>
      <w:pPr>
        <w:pStyle w:val="Heading2"/>
        <w:spacing w:after="150" w:before="300"/>
      </w:pPr>
      <w:r>
        <w:t xml:space="preserve">2.3 Vocabulary Construction</w:t>
      </w:r>
    </w:p>
    <w:p>
      <w:pPr>
        <w:spacing w:after="160"/>
      </w:pPr>
      <w:r>
        <w:rPr>
          <w:rFonts w:ascii="Calibri" w:cs="Calibri" w:eastAsia="Calibri" w:hAnsi="Calibri"/>
          <w:sz w:val="22"/>
          <w:szCs w:val="22"/>
        </w:rPr>
        <w:t xml:space="preserve">Separate vocabularies were built for the source (English) and target (Spanish) languages from the training split only, to avoid data leakage. Words appearing fewer than 2 times were mapped to a special &lt;unk&gt; token. Four special tokens were reserved in both vocabularies: &lt;pad&gt;, &lt;sos&gt;, &lt;eos&gt;, and &lt;unk&gt;.</w:t>
      </w:r>
    </w:p>
    <w:p>
      <w:pPr>
        <w:pStyle w:val="Heading2"/>
        <w:spacing w:after="150" w:before="300"/>
      </w:pPr>
      <w:r>
        <w:t xml:space="preserve">2.4 Train / Validation / Test Split</w:t>
      </w:r>
    </w:p>
    <w:p>
      <w:pPr>
        <w:spacing w:after="160"/>
      </w:pPr>
      <w:r>
        <w:rPr>
          <w:rFonts w:ascii="Calibri" w:cs="Calibri" w:eastAsia="Calibri" w:hAnsi="Calibri"/>
          <w:sz w:val="22"/>
          <w:szCs w:val="22"/>
        </w:rPr>
        <w:t xml:space="preserve">The dataset was split into 80% training, 10% validation, and 10% test sets using a fixed random_state of 24, as required by the assignment specification, ensuring the split is reproducible and identical across all four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rFonts w:ascii="Calibri" w:cs="Calibri" w:eastAsia="Calibri" w:hAnsi="Calibri"/>
                <w:b/>
                <w:bCs/>
                <w:sz w:val="20"/>
                <w:szCs w:val="20"/>
              </w:rPr>
              <w:t xml:space="preserve">Split</w:t>
            </w:r>
          </w:p>
        </w:tc>
        <w:tc>
          <w:tcPr>
            <w:tcW w:type="dxa" w:w="3000"/>
            <w:shd w:fill="D9E2F3" w:val="clear"/>
          </w:tcPr>
          <w:p>
            <w:r>
              <w:rPr>
                <w:rFonts w:ascii="Calibri" w:cs="Calibri" w:eastAsia="Calibri" w:hAnsi="Calibri"/>
                <w:b/>
                <w:bCs/>
                <w:sz w:val="20"/>
                <w:szCs w:val="20"/>
              </w:rPr>
              <w:t xml:space="preserve">Sentence Pairs</w:t>
            </w:r>
          </w:p>
        </w:tc>
        <w:tc>
          <w:tcPr>
            <w:tcW w:type="dxa" w:w="3000"/>
            <w:shd w:fill="D9E2F3" w:val="clear"/>
          </w:tcPr>
          <w:p>
            <w:r>
              <w:rPr>
                <w:rFonts w:ascii="Calibri" w:cs="Calibri" w:eastAsia="Calibri" w:hAnsi="Calibri"/>
                <w:b/>
                <w:bCs/>
                <w:sz w:val="20"/>
                <w:szCs w:val="20"/>
              </w:rPr>
              <w:t xml:space="preserve">Percentage</w:t>
            </w:r>
          </w:p>
        </w:tc>
      </w:tr>
      <w:tr>
        <w:tc>
          <w:tcPr>
            <w:tcW w:type="dxa" w:w="3000"/>
          </w:tcPr>
          <w:p>
            <w:r>
              <w:rPr>
                <w:rFonts w:ascii="Calibri" w:cs="Calibri" w:eastAsia="Calibri" w:hAnsi="Calibri"/>
                <w:b w:val="false"/>
                <w:bCs w:val="false"/>
                <w:sz w:val="20"/>
                <w:szCs w:val="20"/>
              </w:rPr>
              <w:t xml:space="preserve">Train</w:t>
            </w:r>
          </w:p>
        </w:tc>
        <w:tc>
          <w:tcPr>
            <w:tcW w:type="dxa" w:w="3000"/>
          </w:tcPr>
          <w:p>
            <w:r>
              <w:rPr>
                <w:rFonts w:ascii="Calibri" w:cs="Calibri" w:eastAsia="Calibri" w:hAnsi="Calibri"/>
                <w:b w:val="false"/>
                <w:bCs w:val="false"/>
                <w:sz w:val="20"/>
                <w:szCs w:val="20"/>
              </w:rPr>
              <w:t xml:space="preserve">16,000</w:t>
            </w:r>
          </w:p>
        </w:tc>
        <w:tc>
          <w:tcPr>
            <w:tcW w:type="dxa" w:w="3000"/>
          </w:tcPr>
          <w:p>
            <w:r>
              <w:rPr>
                <w:rFonts w:ascii="Calibri" w:cs="Calibri" w:eastAsia="Calibri" w:hAnsi="Calibri"/>
                <w:b w:val="false"/>
                <w:bCs w:val="false"/>
                <w:sz w:val="20"/>
                <w:szCs w:val="20"/>
              </w:rPr>
              <w:t xml:space="preserve">80%</w:t>
            </w:r>
          </w:p>
        </w:tc>
      </w:tr>
      <w:tr>
        <w:tc>
          <w:tcPr>
            <w:tcW w:type="dxa" w:w="3000"/>
          </w:tcPr>
          <w:p>
            <w:r>
              <w:rPr>
                <w:rFonts w:ascii="Calibri" w:cs="Calibri" w:eastAsia="Calibri" w:hAnsi="Calibri"/>
                <w:b w:val="false"/>
                <w:bCs w:val="false"/>
                <w:sz w:val="20"/>
                <w:szCs w:val="20"/>
              </w:rPr>
              <w:t xml:space="preserve">Validation</w:t>
            </w:r>
          </w:p>
        </w:tc>
        <w:tc>
          <w:tcPr>
            <w:tcW w:type="dxa" w:w="3000"/>
          </w:tcPr>
          <w:p>
            <w:r>
              <w:rPr>
                <w:rFonts w:ascii="Calibri" w:cs="Calibri" w:eastAsia="Calibri" w:hAnsi="Calibri"/>
                <w:b w:val="false"/>
                <w:bCs w:val="false"/>
                <w:sz w:val="20"/>
                <w:szCs w:val="20"/>
              </w:rPr>
              <w:t xml:space="preserve">2,000</w:t>
            </w:r>
          </w:p>
        </w:tc>
        <w:tc>
          <w:tcPr>
            <w:tcW w:type="dxa" w:w="3000"/>
          </w:tcPr>
          <w:p>
            <w:r>
              <w:rPr>
                <w:rFonts w:ascii="Calibri" w:cs="Calibri" w:eastAsia="Calibri" w:hAnsi="Calibri"/>
                <w:b w:val="false"/>
                <w:bCs w:val="false"/>
                <w:sz w:val="20"/>
                <w:szCs w:val="20"/>
              </w:rPr>
              <w:t xml:space="preserve">10%</w:t>
            </w:r>
          </w:p>
        </w:tc>
      </w:tr>
      <w:tr>
        <w:tc>
          <w:tcPr>
            <w:tcW w:type="dxa" w:w="3000"/>
          </w:tcPr>
          <w:p>
            <w:r>
              <w:rPr>
                <w:rFonts w:ascii="Calibri" w:cs="Calibri" w:eastAsia="Calibri" w:hAnsi="Calibri"/>
                <w:b w:val="false"/>
                <w:bCs w:val="false"/>
                <w:sz w:val="20"/>
                <w:szCs w:val="20"/>
              </w:rPr>
              <w:t xml:space="preserve">Test</w:t>
            </w:r>
          </w:p>
        </w:tc>
        <w:tc>
          <w:tcPr>
            <w:tcW w:type="dxa" w:w="3000"/>
          </w:tcPr>
          <w:p>
            <w:r>
              <w:rPr>
                <w:rFonts w:ascii="Calibri" w:cs="Calibri" w:eastAsia="Calibri" w:hAnsi="Calibri"/>
                <w:b w:val="false"/>
                <w:bCs w:val="false"/>
                <w:sz w:val="20"/>
                <w:szCs w:val="20"/>
              </w:rPr>
              <w:t xml:space="preserve">2,000</w:t>
            </w:r>
          </w:p>
        </w:tc>
        <w:tc>
          <w:tcPr>
            <w:tcW w:type="dxa" w:w="3000"/>
          </w:tcPr>
          <w:p>
            <w:r>
              <w:rPr>
                <w:rFonts w:ascii="Calibri" w:cs="Calibri" w:eastAsia="Calibri" w:hAnsi="Calibri"/>
                <w:b w:val="false"/>
                <w:bCs w:val="false"/>
                <w:sz w:val="20"/>
                <w:szCs w:val="20"/>
              </w:rPr>
              <w:t xml:space="preserve">10%</w:t>
            </w:r>
          </w:p>
        </w:tc>
      </w:tr>
    </w:tbl>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rFonts w:ascii="Calibri" w:cs="Calibri" w:eastAsia="Calibri" w:hAnsi="Calibri"/>
                <w:b/>
                <w:bCs/>
                <w:sz w:val="20"/>
                <w:szCs w:val="20"/>
              </w:rPr>
              <w:t xml:space="preserve">Item</w:t>
            </w:r>
          </w:p>
        </w:tc>
        <w:tc>
          <w:tcPr>
            <w:tcW w:type="dxa" w:w="4500"/>
            <w:shd w:fill="D9E2F3" w:val="clear"/>
          </w:tcPr>
          <w:p>
            <w:r>
              <w:rPr>
                <w:rFonts w:ascii="Calibri" w:cs="Calibri" w:eastAsia="Calibri" w:hAnsi="Calibri"/>
                <w:b/>
                <w:bCs/>
                <w:sz w:val="20"/>
                <w:szCs w:val="20"/>
              </w:rPr>
              <w:t xml:space="preserve">Value</w:t>
            </w:r>
          </w:p>
        </w:tc>
      </w:tr>
      <w:tr>
        <w:tc>
          <w:tcPr>
            <w:tcW w:type="dxa" w:w="4500"/>
          </w:tcPr>
          <w:p>
            <w:r>
              <w:rPr>
                <w:rFonts w:ascii="Calibri" w:cs="Calibri" w:eastAsia="Calibri" w:hAnsi="Calibri"/>
                <w:b w:val="false"/>
                <w:bCs w:val="false"/>
                <w:sz w:val="20"/>
                <w:szCs w:val="20"/>
              </w:rPr>
              <w:t xml:space="preserve">Source (English) vocabulary size</w:t>
            </w:r>
          </w:p>
        </w:tc>
        <w:tc>
          <w:tcPr>
            <w:tcW w:type="dxa" w:w="4500"/>
          </w:tcPr>
          <w:p>
            <w:r>
              <w:rPr>
                <w:rFonts w:ascii="Calibri" w:cs="Calibri" w:eastAsia="Calibri" w:hAnsi="Calibri"/>
                <w:b w:val="false"/>
                <w:bCs w:val="false"/>
                <w:sz w:val="20"/>
                <w:szCs w:val="20"/>
              </w:rPr>
              <w:t xml:space="preserve">2,115</w:t>
            </w:r>
          </w:p>
        </w:tc>
      </w:tr>
      <w:tr>
        <w:tc>
          <w:tcPr>
            <w:tcW w:type="dxa" w:w="4500"/>
          </w:tcPr>
          <w:p>
            <w:r>
              <w:rPr>
                <w:rFonts w:ascii="Calibri" w:cs="Calibri" w:eastAsia="Calibri" w:hAnsi="Calibri"/>
                <w:b w:val="false"/>
                <w:bCs w:val="false"/>
                <w:sz w:val="20"/>
                <w:szCs w:val="20"/>
              </w:rPr>
              <w:t xml:space="preserve">Target (Spanish) vocabulary size</w:t>
            </w:r>
          </w:p>
        </w:tc>
        <w:tc>
          <w:tcPr>
            <w:tcW w:type="dxa" w:w="4500"/>
          </w:tcPr>
          <w:p>
            <w:r>
              <w:rPr>
                <w:rFonts w:ascii="Calibri" w:cs="Calibri" w:eastAsia="Calibri" w:hAnsi="Calibri"/>
                <w:b w:val="false"/>
                <w:bCs w:val="false"/>
                <w:sz w:val="20"/>
                <w:szCs w:val="20"/>
              </w:rPr>
              <w:t xml:space="preserve">3,116</w:t>
            </w:r>
          </w:p>
        </w:tc>
      </w:tr>
    </w:tbl>
    <w:p>
      <w:pPr>
        <w:spacing w:after="200"/>
      </w:pPr>
    </w:p>
    <w:p>
      <w:pPr>
        <w:pStyle w:val="Heading1"/>
        <w:spacing w:after="200" w:before="400"/>
      </w:pPr>
      <w:r>
        <w:t xml:space="preserve">3. Methodology</w:t>
      </w:r>
    </w:p>
    <w:p>
      <w:pPr>
        <w:pStyle w:val="Heading2"/>
        <w:spacing w:after="150" w:before="300"/>
      </w:pPr>
      <w:r>
        <w:t xml:space="preserve">3.1 Shared Training Configuration</w:t>
      </w:r>
    </w:p>
    <w:p>
      <w:pPr>
        <w:spacing w:after="160"/>
      </w:pPr>
      <w:r>
        <w:rPr>
          <w:rFonts w:ascii="Calibri" w:cs="Calibri" w:eastAsia="Calibri" w:hAnsi="Calibri"/>
          <w:sz w:val="22"/>
          <w:szCs w:val="22"/>
        </w:rPr>
        <w:t xml:space="preserve">To ensure that observed performance differences are attributable to architecture rather than inconsistent experimental setup, all four models were trained with identical hyperparameters:</w:t>
      </w:r>
    </w:p>
    <w:p>
      <w:pPr>
        <w:pStyle w:val="ListParagraph"/>
        <w:numPr>
          <w:ilvl w:val="0"/>
          <w:numId w:val="1"/>
        </w:numPr>
        <w:spacing w:after="80"/>
      </w:pPr>
      <w:r>
        <w:rPr>
          <w:rFonts w:ascii="Calibri" w:cs="Calibri" w:eastAsia="Calibri" w:hAnsi="Calibri"/>
          <w:sz w:val="22"/>
          <w:szCs w:val="22"/>
        </w:rPr>
        <w:t xml:space="preserve">Embedding size: 256</w:t>
      </w:r>
    </w:p>
    <w:p>
      <w:pPr>
        <w:pStyle w:val="ListParagraph"/>
        <w:numPr>
          <w:ilvl w:val="0"/>
          <w:numId w:val="1"/>
        </w:numPr>
        <w:spacing w:after="80"/>
      </w:pPr>
      <w:r>
        <w:rPr>
          <w:rFonts w:ascii="Calibri" w:cs="Calibri" w:eastAsia="Calibri" w:hAnsi="Calibri"/>
          <w:sz w:val="22"/>
          <w:szCs w:val="22"/>
        </w:rPr>
        <w:t xml:space="preserve">Hidden size: 512</w:t>
      </w:r>
    </w:p>
    <w:p>
      <w:pPr>
        <w:pStyle w:val="ListParagraph"/>
        <w:numPr>
          <w:ilvl w:val="0"/>
          <w:numId w:val="1"/>
        </w:numPr>
        <w:spacing w:after="80"/>
      </w:pPr>
      <w:r>
        <w:rPr>
          <w:rFonts w:ascii="Calibri" w:cs="Calibri" w:eastAsia="Calibri" w:hAnsi="Calibri"/>
          <w:sz w:val="22"/>
          <w:szCs w:val="22"/>
        </w:rPr>
        <w:t xml:space="preserve">Batch size: 64</w:t>
      </w:r>
    </w:p>
    <w:p>
      <w:pPr>
        <w:pStyle w:val="ListParagraph"/>
        <w:numPr>
          <w:ilvl w:val="0"/>
          <w:numId w:val="1"/>
        </w:numPr>
        <w:spacing w:after="80"/>
      </w:pPr>
      <w:r>
        <w:rPr>
          <w:rFonts w:ascii="Calibri" w:cs="Calibri" w:eastAsia="Calibri" w:hAnsi="Calibri"/>
          <w:sz w:val="22"/>
          <w:szCs w:val="22"/>
        </w:rPr>
        <w:t xml:space="preserve">Optimizer: Adam, learning rate 1e-3</w:t>
      </w:r>
    </w:p>
    <w:p>
      <w:pPr>
        <w:pStyle w:val="ListParagraph"/>
        <w:numPr>
          <w:ilvl w:val="0"/>
          <w:numId w:val="1"/>
        </w:numPr>
        <w:spacing w:after="80"/>
      </w:pPr>
      <w:r>
        <w:rPr>
          <w:rFonts w:ascii="Calibri" w:cs="Calibri" w:eastAsia="Calibri" w:hAnsi="Calibri"/>
          <w:sz w:val="22"/>
          <w:szCs w:val="22"/>
        </w:rPr>
        <w:t xml:space="preserve">Loss function: Cross-entropy (padding tokens ignored)</w:t>
      </w:r>
    </w:p>
    <w:p>
      <w:pPr>
        <w:pStyle w:val="ListParagraph"/>
        <w:numPr>
          <w:ilvl w:val="0"/>
          <w:numId w:val="1"/>
        </w:numPr>
        <w:spacing w:after="80"/>
      </w:pPr>
      <w:r>
        <w:rPr>
          <w:rFonts w:ascii="Calibri" w:cs="Calibri" w:eastAsia="Calibri" w:hAnsi="Calibri"/>
          <w:sz w:val="22"/>
          <w:szCs w:val="22"/>
        </w:rPr>
        <w:t xml:space="preserve">Gradient clipping: max norm 1.0</w:t>
      </w:r>
    </w:p>
    <w:p>
      <w:pPr>
        <w:pStyle w:val="ListParagraph"/>
        <w:numPr>
          <w:ilvl w:val="0"/>
          <w:numId w:val="1"/>
        </w:numPr>
        <w:spacing w:after="80"/>
      </w:pPr>
      <w:r>
        <w:rPr>
          <w:rFonts w:ascii="Calibri" w:cs="Calibri" w:eastAsia="Calibri" w:hAnsi="Calibri"/>
          <w:sz w:val="22"/>
          <w:szCs w:val="22"/>
        </w:rPr>
        <w:t xml:space="preserve">Epochs: 15</w:t>
      </w:r>
    </w:p>
    <w:p>
      <w:pPr>
        <w:pStyle w:val="ListParagraph"/>
        <w:numPr>
          <w:ilvl w:val="0"/>
          <w:numId w:val="1"/>
        </w:numPr>
        <w:spacing w:after="80"/>
      </w:pPr>
      <w:r>
        <w:rPr>
          <w:rFonts w:ascii="Calibri" w:cs="Calibri" w:eastAsia="Calibri" w:hAnsi="Calibri"/>
          <w:sz w:val="22"/>
          <w:szCs w:val="22"/>
        </w:rPr>
        <w:t xml:space="preserve">Teacher forcing ratio: 0.5 during training, 0.0 during validation</w:t>
      </w:r>
    </w:p>
    <w:p>
      <w:pPr>
        <w:pStyle w:val="ListParagraph"/>
        <w:numPr>
          <w:ilvl w:val="0"/>
          <w:numId w:val="1"/>
        </w:numPr>
        <w:spacing w:after="80"/>
      </w:pPr>
      <w:r>
        <w:rPr>
          <w:rFonts w:ascii="Calibri" w:cs="Calibri" w:eastAsia="Calibri" w:hAnsi="Calibri"/>
          <w:sz w:val="22"/>
          <w:szCs w:val="22"/>
        </w:rPr>
        <w:t xml:space="preserve">Decoding strategy at inference: greedy decoding</w:t>
      </w:r>
    </w:p>
    <w:p>
      <w:pPr>
        <w:spacing w:after="160"/>
      </w:pPr>
      <w:r>
        <w:rPr>
          <w:rFonts w:ascii="Calibri" w:cs="Calibri" w:eastAsia="Calibri" w:hAnsi="Calibri"/>
          <w:sz w:val="22"/>
          <w:szCs w:val="22"/>
        </w:rPr>
        <w:t xml:space="preserve">Best-checkpoint selection was used throughout: the model weights from the epoch with the lowest validation loss were retained for evaluation, rather than the weights from the final epoch, to avoid evaluating an overfit model.</w:t>
      </w:r>
    </w:p>
    <w:p>
      <w:pPr>
        <w:pStyle w:val="Heading2"/>
        <w:spacing w:after="150" w:before="300"/>
      </w:pPr>
      <w:r>
        <w:t xml:space="preserve">3.2 Model 1 — RNN (Baseline)</w:t>
      </w:r>
    </w:p>
    <w:p>
      <w:pPr>
        <w:spacing w:after="160"/>
      </w:pPr>
      <w:r>
        <w:rPr>
          <w:rFonts w:ascii="Calibri" w:cs="Calibri" w:eastAsia="Calibri" w:hAnsi="Calibri"/>
          <w:sz w:val="22"/>
          <w:szCs w:val="22"/>
        </w:rPr>
        <w:t xml:space="preserve">A single-layer GRU processes the source sentence and its final hidden state directly seeds a second single-layer GRU decoder, which generates the target sentence token by token. There is no explicit attention mechanism and no bidirectional processing. This architecture must compress the entire meaning of the source sentence into one fixed-size hidden vector, representing the simplest and most constrained architecture in this comparison.</w:t>
      </w:r>
    </w:p>
    <w:p>
      <w:pPr>
        <w:pStyle w:val="Heading2"/>
        <w:spacing w:after="150" w:before="300"/>
      </w:pPr>
      <w:r>
        <w:t xml:space="preserve">3.3 Model 2 — Encoder–Decoder</w:t>
      </w:r>
    </w:p>
    <w:p>
      <w:pPr>
        <w:spacing w:after="160"/>
      </w:pPr>
      <w:r>
        <w:rPr>
          <w:rFonts w:ascii="Calibri" w:cs="Calibri" w:eastAsia="Calibri" w:hAnsi="Calibri"/>
          <w:sz w:val="22"/>
          <w:szCs w:val="22"/>
        </w:rPr>
        <w:t xml:space="preserve">A cleanly separated 2-layer GRU encoder and 2-layer GRU decoder, following the classic Sutskever et al. (2014) sequence-to-sequence design, with dropout (0.2) applied between layers. Like Model 1, the decoder is conditioned only on the encoder's final hidden state — there is still no attention — but the added depth and separation of encoder/decoder responsibilities was hypothesized to improve representational capacity relative to Model 1.</w:t>
      </w:r>
    </w:p>
    <w:p>
      <w:pPr>
        <w:pStyle w:val="Heading2"/>
        <w:spacing w:after="150" w:before="300"/>
      </w:pPr>
      <w:r>
        <w:t xml:space="preserve">3.4 Model 3 — Encoder–Decoder with Additive (Bahdanau) Attention</w:t>
      </w:r>
    </w:p>
    <w:p>
      <w:pPr>
        <w:spacing w:after="160"/>
      </w:pPr>
      <w:r>
        <w:rPr>
          <w:rFonts w:ascii="Calibri" w:cs="Calibri" w:eastAsia="Calibri" w:hAnsi="Calibri"/>
          <w:sz w:val="22"/>
          <w:szCs w:val="22"/>
        </w:rPr>
        <w:t xml:space="preserve">This model uses a bidirectional GRU encoder, so that hidden states at every source position encode context from both directions. At each decoding step, the decoder computes an alignment score between its current hidden state and every encoder position using a learned feedforward network:</w:t>
      </w:r>
    </w:p>
    <w:p>
      <w:pPr>
        <w:spacing w:after="160"/>
      </w:pPr>
      <w:r>
        <w:rPr>
          <w:rFonts w:ascii="Calibri" w:cs="Calibri" w:eastAsia="Calibri" w:hAnsi="Calibri"/>
          <w:i/>
          <w:iCs/>
          <w:sz w:val="22"/>
          <w:szCs w:val="22"/>
        </w:rPr>
        <w:t xml:space="preserve">score(s_t, h_i) = vᵀ · tanh(W₁s_t + W₂h_i)</w:t>
      </w:r>
    </w:p>
    <w:p>
      <w:pPr>
        <w:spacing w:after="160"/>
      </w:pPr>
      <w:r>
        <w:rPr>
          <w:rFonts w:ascii="Calibri" w:cs="Calibri" w:eastAsia="Calibri" w:hAnsi="Calibri"/>
          <w:sz w:val="22"/>
          <w:szCs w:val="22"/>
        </w:rPr>
        <w:t xml:space="preserve">These scores are normalized via softmax into attention weights, which are used to compute a weighted context vector from all encoder outputs. This context is fed into the decoder RNN alongside the previous output embedding, and used again when predicting the next token.</w:t>
      </w:r>
    </w:p>
    <w:p>
      <w:pPr>
        <w:pStyle w:val="Heading2"/>
        <w:spacing w:after="150" w:before="300"/>
      </w:pPr>
      <w:r>
        <w:t xml:space="preserve">3.5 Model 4 — Encoder–Decoder with Multiplicative (Luong) Attention</w:t>
      </w:r>
    </w:p>
    <w:p>
      <w:pPr>
        <w:spacing w:after="160"/>
      </w:pPr>
      <w:r>
        <w:rPr>
          <w:rFonts w:ascii="Calibri" w:cs="Calibri" w:eastAsia="Calibri" w:hAnsi="Calibri"/>
          <w:sz w:val="22"/>
          <w:szCs w:val="22"/>
        </w:rPr>
        <w:t xml:space="preserve">This model uses a unidirectional GRU encoder (matching Luong et al.'s original formulation) and computes attention scores via a bilinear form rather than a feedforward network:</w:t>
      </w:r>
    </w:p>
    <w:p>
      <w:pPr>
        <w:spacing w:after="160"/>
      </w:pPr>
      <w:r>
        <w:rPr>
          <w:rFonts w:ascii="Calibri" w:cs="Calibri" w:eastAsia="Calibri" w:hAnsi="Calibri"/>
          <w:i/>
          <w:iCs/>
          <w:sz w:val="22"/>
          <w:szCs w:val="22"/>
        </w:rPr>
        <w:t xml:space="preserve">score(s_t, h_i) = s_tᵀ · W · h_i</w:t>
      </w:r>
    </w:p>
    <w:p>
      <w:pPr>
        <w:spacing w:after="160"/>
      </w:pPr>
      <w:r>
        <w:rPr>
          <w:rFonts w:ascii="Calibri" w:cs="Calibri" w:eastAsia="Calibri" w:hAnsi="Calibri"/>
          <w:sz w:val="22"/>
          <w:szCs w:val="22"/>
        </w:rPr>
        <w:t xml:space="preserve">Unlike the additive model, attention here is computed after the decoder RNN step rather than before it: the decoder produces a hidden state, attention is computed against that state, and the attended context is concatenated with the RNN output before the final prediction layer. This scoring mechanism has fewer learned parameters in the attention module itself and is computationally cheaper than the additive formulation.</w:t>
      </w:r>
    </w:p>
    <w:p>
      <w:pPr>
        <w:pStyle w:val="Heading1"/>
        <w:spacing w:after="200" w:before="400"/>
      </w:pPr>
      <w:r>
        <w:t xml:space="preserve">4. Results</w:t>
      </w:r>
    </w:p>
    <w:p>
      <w:pPr>
        <w:pStyle w:val="Heading2"/>
        <w:spacing w:after="150" w:before="300"/>
      </w:pPr>
      <w:r>
        <w:t xml:space="preserve">4.1 Training Dynamics</w:t>
      </w:r>
    </w:p>
    <w:p>
      <w:pPr>
        <w:spacing w:after="160"/>
      </w:pPr>
      <w:r>
        <w:rPr>
          <w:rFonts w:ascii="Calibri" w:cs="Calibri" w:eastAsia="Calibri" w:hAnsi="Calibri"/>
          <w:sz w:val="22"/>
          <w:szCs w:val="22"/>
        </w:rPr>
        <w:t xml:space="preserve">Table 3 summarizes the best validation loss achieved by each model, the epoch at which it occurred, and the total number of trainable parameters.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700"/>
        <w:gridCol w:w="1600"/>
      </w:tblGrid>
      <w:tr>
        <w:tc>
          <w:tcPr>
            <w:tcW w:type="dxa" w:w="2600"/>
            <w:shd w:fill="D9E2F3" w:val="clear"/>
          </w:tcPr>
          <w:p>
            <w:r>
              <w:rPr>
                <w:rFonts w:ascii="Calibri" w:cs="Calibri" w:eastAsia="Calibri" w:hAnsi="Calibri"/>
                <w:b/>
                <w:bCs/>
                <w:sz w:val="20"/>
                <w:szCs w:val="20"/>
              </w:rPr>
              <w:t xml:space="preserve">Model</w:t>
            </w:r>
          </w:p>
        </w:tc>
        <w:tc>
          <w:tcPr>
            <w:tcW w:type="dxa" w:w="1800"/>
            <w:shd w:fill="D9E2F3" w:val="clear"/>
          </w:tcPr>
          <w:p>
            <w:r>
              <w:rPr>
                <w:rFonts w:ascii="Calibri" w:cs="Calibri" w:eastAsia="Calibri" w:hAnsi="Calibri"/>
                <w:b/>
                <w:bCs/>
                <w:sz w:val="20"/>
                <w:szCs w:val="20"/>
              </w:rPr>
              <w:t xml:space="preserve">Best Val Loss</w:t>
            </w:r>
          </w:p>
        </w:tc>
        <w:tc>
          <w:tcPr>
            <w:tcW w:type="dxa" w:w="1800"/>
            <w:shd w:fill="D9E2F3" w:val="clear"/>
          </w:tcPr>
          <w:p>
            <w:r>
              <w:rPr>
                <w:rFonts w:ascii="Calibri" w:cs="Calibri" w:eastAsia="Calibri" w:hAnsi="Calibri"/>
                <w:b/>
                <w:bCs/>
                <w:sz w:val="20"/>
                <w:szCs w:val="20"/>
              </w:rPr>
              <w:t xml:space="preserve">Best Epoch</w:t>
            </w:r>
          </w:p>
        </w:tc>
        <w:tc>
          <w:tcPr>
            <w:tcW w:type="dxa" w:w="1700"/>
            <w:shd w:fill="D9E2F3" w:val="clear"/>
          </w:tcPr>
          <w:p>
            <w:r>
              <w:rPr>
                <w:rFonts w:ascii="Calibri" w:cs="Calibri" w:eastAsia="Calibri" w:hAnsi="Calibri"/>
                <w:b/>
                <w:bCs/>
                <w:sz w:val="20"/>
                <w:szCs w:val="20"/>
              </w:rPr>
              <w:t xml:space="preserve">Parameters</w:t>
            </w:r>
          </w:p>
        </w:tc>
        <w:tc>
          <w:tcPr>
            <w:tcW w:type="dxa" w:w="1600"/>
            <w:shd w:fill="D9E2F3" w:val="clear"/>
          </w:tcPr>
          <w:p>
            <w:r>
              <w:rPr>
                <w:rFonts w:ascii="Calibri" w:cs="Calibri" w:eastAsia="Calibri" w:hAnsi="Calibri"/>
                <w:b/>
                <w:bCs/>
                <w:sz w:val="20"/>
                <w:szCs w:val="20"/>
              </w:rPr>
              <w:t xml:space="preserve">Time/Epoch</w:t>
            </w:r>
          </w:p>
        </w:tc>
      </w:tr>
      <w:tr>
        <w:tc>
          <w:tcPr>
            <w:tcW w:type="dxa" w:w="2600"/>
          </w:tcPr>
          <w:p>
            <w:r>
              <w:rPr>
                <w:rFonts w:ascii="Calibri" w:cs="Calibri" w:eastAsia="Calibri" w:hAnsi="Calibri"/>
                <w:b w:val="false"/>
                <w:bCs w:val="false"/>
                <w:sz w:val="20"/>
                <w:szCs w:val="20"/>
              </w:rPr>
              <w:t xml:space="preserve">1. RNN</w:t>
            </w:r>
          </w:p>
        </w:tc>
        <w:tc>
          <w:tcPr>
            <w:tcW w:type="dxa" w:w="1800"/>
          </w:tcPr>
          <w:p>
            <w:r>
              <w:rPr>
                <w:rFonts w:ascii="Calibri" w:cs="Calibri" w:eastAsia="Calibri" w:hAnsi="Calibri"/>
                <w:b w:val="false"/>
                <w:bCs w:val="false"/>
                <w:sz w:val="20"/>
                <w:szCs w:val="20"/>
              </w:rPr>
              <w:t xml:space="preserve">1.9567</w:t>
            </w:r>
          </w:p>
        </w:tc>
        <w:tc>
          <w:tcPr>
            <w:tcW w:type="dxa" w:w="1800"/>
          </w:tcPr>
          <w:p>
            <w:r>
              <w:rPr>
                <w:rFonts w:ascii="Calibri" w:cs="Calibri" w:eastAsia="Calibri" w:hAnsi="Calibri"/>
                <w:b w:val="false"/>
                <w:bCs w:val="false"/>
                <w:sz w:val="20"/>
                <w:szCs w:val="20"/>
              </w:rPr>
              <w:t xml:space="preserve">5</w:t>
            </w:r>
          </w:p>
        </w:tc>
        <w:tc>
          <w:tcPr>
            <w:tcW w:type="dxa" w:w="1700"/>
          </w:tcPr>
          <w:p>
            <w:r>
              <w:rPr>
                <w:rFonts w:ascii="Calibri" w:cs="Calibri" w:eastAsia="Calibri" w:hAnsi="Calibri"/>
                <w:b w:val="false"/>
                <w:bCs w:val="false"/>
                <w:sz w:val="20"/>
                <w:szCs w:val="20"/>
              </w:rPr>
              <w:t xml:space="preserve">5.30M</w:t>
            </w:r>
          </w:p>
        </w:tc>
        <w:tc>
          <w:tcPr>
            <w:tcW w:type="dxa" w:w="1600"/>
          </w:tcPr>
          <w:p>
            <w:r>
              <w:rPr>
                <w:rFonts w:ascii="Calibri" w:cs="Calibri" w:eastAsia="Calibri" w:hAnsi="Calibri"/>
                <w:b w:val="false"/>
                <w:bCs w:val="false"/>
                <w:sz w:val="20"/>
                <w:szCs w:val="20"/>
              </w:rPr>
              <w:t xml:space="preserve">~20s</w:t>
            </w:r>
          </w:p>
        </w:tc>
      </w:tr>
      <w:tr>
        <w:tc>
          <w:tcPr>
            <w:tcW w:type="dxa" w:w="2600"/>
          </w:tcPr>
          <w:p>
            <w:r>
              <w:rPr>
                <w:rFonts w:ascii="Calibri" w:cs="Calibri" w:eastAsia="Calibri" w:hAnsi="Calibri"/>
                <w:b w:val="false"/>
                <w:bCs w:val="false"/>
                <w:sz w:val="20"/>
                <w:szCs w:val="20"/>
              </w:rPr>
              <w:t xml:space="preserve">2. Encoder–Decoder</w:t>
            </w:r>
          </w:p>
        </w:tc>
        <w:tc>
          <w:tcPr>
            <w:tcW w:type="dxa" w:w="1800"/>
          </w:tcPr>
          <w:p>
            <w:r>
              <w:rPr>
                <w:rFonts w:ascii="Calibri" w:cs="Calibri" w:eastAsia="Calibri" w:hAnsi="Calibri"/>
                <w:b w:val="false"/>
                <w:bCs w:val="false"/>
                <w:sz w:val="20"/>
                <w:szCs w:val="20"/>
              </w:rPr>
              <w:t xml:space="preserve">1.9773</w:t>
            </w:r>
          </w:p>
        </w:tc>
        <w:tc>
          <w:tcPr>
            <w:tcW w:type="dxa" w:w="1800"/>
          </w:tcPr>
          <w:p>
            <w:r>
              <w:rPr>
                <w:rFonts w:ascii="Calibri" w:cs="Calibri" w:eastAsia="Calibri" w:hAnsi="Calibri"/>
                <w:b w:val="false"/>
                <w:bCs w:val="false"/>
                <w:sz w:val="20"/>
                <w:szCs w:val="20"/>
              </w:rPr>
              <w:t xml:space="preserve">5</w:t>
            </w:r>
          </w:p>
        </w:tc>
        <w:tc>
          <w:tcPr>
            <w:tcW w:type="dxa" w:w="1700"/>
          </w:tcPr>
          <w:p>
            <w:r>
              <w:rPr>
                <w:rFonts w:ascii="Calibri" w:cs="Calibri" w:eastAsia="Calibri" w:hAnsi="Calibri"/>
                <w:b w:val="false"/>
                <w:bCs w:val="false"/>
                <w:sz w:val="20"/>
                <w:szCs w:val="20"/>
              </w:rPr>
              <w:t xml:space="preserve">8.45M</w:t>
            </w:r>
          </w:p>
        </w:tc>
        <w:tc>
          <w:tcPr>
            <w:tcW w:type="dxa" w:w="1600"/>
          </w:tcPr>
          <w:p>
            <w:r>
              <w:rPr>
                <w:rFonts w:ascii="Calibri" w:cs="Calibri" w:eastAsia="Calibri" w:hAnsi="Calibri"/>
                <w:b w:val="false"/>
                <w:bCs w:val="false"/>
                <w:sz w:val="20"/>
                <w:szCs w:val="20"/>
              </w:rPr>
              <w:t xml:space="preserve">~34s</w:t>
            </w:r>
          </w:p>
        </w:tc>
      </w:tr>
      <w:tr>
        <w:tc>
          <w:tcPr>
            <w:tcW w:type="dxa" w:w="2600"/>
          </w:tcPr>
          <w:p>
            <w:r>
              <w:rPr>
                <w:rFonts w:ascii="Calibri" w:cs="Calibri" w:eastAsia="Calibri" w:hAnsi="Calibri"/>
                <w:b w:val="false"/>
                <w:bCs w:val="false"/>
                <w:sz w:val="20"/>
                <w:szCs w:val="20"/>
              </w:rPr>
              <w:t xml:space="preserve">3. + Additive Attention</w:t>
            </w:r>
          </w:p>
        </w:tc>
        <w:tc>
          <w:tcPr>
            <w:tcW w:type="dxa" w:w="1800"/>
          </w:tcPr>
          <w:p>
            <w:r>
              <w:rPr>
                <w:rFonts w:ascii="Calibri" w:cs="Calibri" w:eastAsia="Calibri" w:hAnsi="Calibri"/>
                <w:b w:val="false"/>
                <w:bCs w:val="false"/>
                <w:sz w:val="20"/>
                <w:szCs w:val="20"/>
              </w:rPr>
              <w:t xml:space="preserve">1.9582</w:t>
            </w:r>
          </w:p>
        </w:tc>
        <w:tc>
          <w:tcPr>
            <w:tcW w:type="dxa" w:w="1800"/>
          </w:tcPr>
          <w:p>
            <w:r>
              <w:rPr>
                <w:rFonts w:ascii="Calibri" w:cs="Calibri" w:eastAsia="Calibri" w:hAnsi="Calibri"/>
                <w:b w:val="false"/>
                <w:bCs w:val="false"/>
                <w:sz w:val="20"/>
                <w:szCs w:val="20"/>
              </w:rPr>
              <w:t xml:space="preserve">2</w:t>
            </w:r>
          </w:p>
        </w:tc>
        <w:tc>
          <w:tcPr>
            <w:tcW w:type="dxa" w:w="1700"/>
          </w:tcPr>
          <w:p>
            <w:r>
              <w:rPr>
                <w:rFonts w:ascii="Calibri" w:cs="Calibri" w:eastAsia="Calibri" w:hAnsi="Calibri"/>
                <w:b w:val="false"/>
                <w:bCs w:val="false"/>
                <w:sz w:val="20"/>
                <w:szCs w:val="20"/>
              </w:rPr>
              <w:t xml:space="preserve">13.36M</w:t>
            </w:r>
          </w:p>
        </w:tc>
        <w:tc>
          <w:tcPr>
            <w:tcW w:type="dxa" w:w="1600"/>
          </w:tcPr>
          <w:p>
            <w:r>
              <w:rPr>
                <w:rFonts w:ascii="Calibri" w:cs="Calibri" w:eastAsia="Calibri" w:hAnsi="Calibri"/>
                <w:b w:val="false"/>
                <w:bCs w:val="false"/>
                <w:sz w:val="20"/>
                <w:szCs w:val="20"/>
              </w:rPr>
              <w:t xml:space="preserve">~67s</w:t>
            </w:r>
          </w:p>
        </w:tc>
      </w:tr>
      <w:tr>
        <w:tc>
          <w:tcPr>
            <w:tcW w:type="dxa" w:w="2600"/>
          </w:tcPr>
          <w:p>
            <w:r>
              <w:rPr>
                <w:rFonts w:ascii="Calibri" w:cs="Calibri" w:eastAsia="Calibri" w:hAnsi="Calibri"/>
                <w:b/>
                <w:bCs/>
                <w:sz w:val="20"/>
                <w:szCs w:val="20"/>
              </w:rPr>
              <w:t xml:space="preserve">4. + Multiplicative Attention</w:t>
            </w:r>
          </w:p>
        </w:tc>
        <w:tc>
          <w:tcPr>
            <w:tcW w:type="dxa" w:w="1800"/>
          </w:tcPr>
          <w:p>
            <w:r>
              <w:rPr>
                <w:rFonts w:ascii="Calibri" w:cs="Calibri" w:eastAsia="Calibri" w:hAnsi="Calibri"/>
                <w:b/>
                <w:bCs/>
                <w:sz w:val="20"/>
                <w:szCs w:val="20"/>
              </w:rPr>
              <w:t xml:space="preserve">1.9362</w:t>
            </w:r>
          </w:p>
        </w:tc>
        <w:tc>
          <w:tcPr>
            <w:tcW w:type="dxa" w:w="1800"/>
          </w:tcPr>
          <w:p>
            <w:r>
              <w:rPr>
                <w:rFonts w:ascii="Calibri" w:cs="Calibri" w:eastAsia="Calibri" w:hAnsi="Calibri"/>
                <w:b w:val="false"/>
                <w:bCs w:val="false"/>
                <w:sz w:val="20"/>
                <w:szCs w:val="20"/>
              </w:rPr>
              <w:t xml:space="preserve">5</w:t>
            </w:r>
          </w:p>
        </w:tc>
        <w:tc>
          <w:tcPr>
            <w:tcW w:type="dxa" w:w="1700"/>
          </w:tcPr>
          <w:p>
            <w:r>
              <w:rPr>
                <w:rFonts w:ascii="Calibri" w:cs="Calibri" w:eastAsia="Calibri" w:hAnsi="Calibri"/>
                <w:b w:val="false"/>
                <w:bCs w:val="false"/>
                <w:sz w:val="20"/>
                <w:szCs w:val="20"/>
              </w:rPr>
              <w:t xml:space="preserve">6.09M</w:t>
            </w:r>
          </w:p>
        </w:tc>
        <w:tc>
          <w:tcPr>
            <w:tcW w:type="dxa" w:w="1600"/>
          </w:tcPr>
          <w:p>
            <w:r>
              <w:rPr>
                <w:rFonts w:ascii="Calibri" w:cs="Calibri" w:eastAsia="Calibri" w:hAnsi="Calibri"/>
                <w:b w:val="false"/>
                <w:bCs w:val="false"/>
                <w:sz w:val="20"/>
                <w:szCs w:val="20"/>
              </w:rPr>
              <w:t xml:space="preserve">~30s</w:t>
            </w:r>
          </w:p>
        </w:tc>
      </w:tr>
    </w:tbl>
    <w:p>
      <w:pPr>
        <w:spacing w:after="200"/>
      </w:pPr>
    </w:p>
    <w:p>
      <w:pPr>
        <w:pStyle w:val="Heading2"/>
        <w:spacing w:after="150" w:before="300"/>
      </w:pPr>
      <w:r>
        <w:t xml:space="preserve">4.2 BLEU Scores</w:t>
      </w:r>
    </w:p>
    <w:p>
      <w:pPr>
        <w:spacing w:after="160"/>
      </w:pPr>
      <w:r>
        <w:rPr>
          <w:rFonts w:ascii="Calibri" w:cs="Calibri" w:eastAsia="Calibri" w:hAnsi="Calibri"/>
          <w:sz w:val="22"/>
          <w:szCs w:val="22"/>
        </w:rPr>
        <w:t xml:space="preserve">BLEU scores were computed on the held-out 2,000-sentence test set using greedy decoding for all four models, with smoothing applied to handle short sentences.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tblGrid>
      <w:tr>
        <w:tc>
          <w:tcPr>
            <w:tcW w:type="dxa" w:w="3500"/>
            <w:shd w:fill="D9E2F3" w:val="clear"/>
          </w:tcPr>
          <w:p>
            <w:r>
              <w:rPr>
                <w:rFonts w:ascii="Calibri" w:cs="Calibri" w:eastAsia="Calibri" w:hAnsi="Calibri"/>
                <w:b/>
                <w:bCs/>
                <w:sz w:val="20"/>
                <w:szCs w:val="20"/>
              </w:rPr>
              <w:t xml:space="preserve">Model</w:t>
            </w:r>
          </w:p>
        </w:tc>
        <w:tc>
          <w:tcPr>
            <w:tcW w:type="dxa" w:w="2500"/>
            <w:shd w:fill="D9E2F3" w:val="clear"/>
          </w:tcPr>
          <w:p>
            <w:r>
              <w:rPr>
                <w:rFonts w:ascii="Calibri" w:cs="Calibri" w:eastAsia="Calibri" w:hAnsi="Calibri"/>
                <w:b/>
                <w:bCs/>
                <w:sz w:val="20"/>
                <w:szCs w:val="20"/>
              </w:rPr>
              <w:t xml:space="preserve">BLEU Score</w:t>
            </w:r>
          </w:p>
        </w:tc>
      </w:tr>
      <w:tr>
        <w:tc>
          <w:tcPr>
            <w:tcW w:type="dxa" w:w="3500"/>
          </w:tcPr>
          <w:p>
            <w:r>
              <w:rPr>
                <w:rFonts w:ascii="Calibri" w:cs="Calibri" w:eastAsia="Calibri" w:hAnsi="Calibri"/>
                <w:b w:val="false"/>
                <w:bCs w:val="false"/>
                <w:sz w:val="20"/>
                <w:szCs w:val="20"/>
              </w:rPr>
              <w:t xml:space="preserve">1. RNN</w:t>
            </w:r>
          </w:p>
        </w:tc>
        <w:tc>
          <w:tcPr>
            <w:tcW w:type="dxa" w:w="2500"/>
          </w:tcPr>
          <w:p>
            <w:r>
              <w:rPr>
                <w:rFonts w:ascii="Calibri" w:cs="Calibri" w:eastAsia="Calibri" w:hAnsi="Calibri"/>
                <w:b w:val="false"/>
                <w:bCs w:val="false"/>
                <w:sz w:val="20"/>
                <w:szCs w:val="20"/>
              </w:rPr>
              <w:t xml:space="preserve">0.2376</w:t>
            </w:r>
          </w:p>
        </w:tc>
      </w:tr>
      <w:tr>
        <w:tc>
          <w:tcPr>
            <w:tcW w:type="dxa" w:w="3500"/>
          </w:tcPr>
          <w:p>
            <w:r>
              <w:rPr>
                <w:rFonts w:ascii="Calibri" w:cs="Calibri" w:eastAsia="Calibri" w:hAnsi="Calibri"/>
                <w:b w:val="false"/>
                <w:bCs w:val="false"/>
                <w:sz w:val="20"/>
                <w:szCs w:val="20"/>
              </w:rPr>
              <w:t xml:space="preserve">2. Encoder–Decoder</w:t>
            </w:r>
          </w:p>
        </w:tc>
        <w:tc>
          <w:tcPr>
            <w:tcW w:type="dxa" w:w="2500"/>
          </w:tcPr>
          <w:p>
            <w:r>
              <w:rPr>
                <w:rFonts w:ascii="Calibri" w:cs="Calibri" w:eastAsia="Calibri" w:hAnsi="Calibri"/>
                <w:b w:val="false"/>
                <w:bCs w:val="false"/>
                <w:sz w:val="20"/>
                <w:szCs w:val="20"/>
              </w:rPr>
              <w:t xml:space="preserve">0.2269</w:t>
            </w:r>
          </w:p>
        </w:tc>
      </w:tr>
      <w:tr>
        <w:tc>
          <w:tcPr>
            <w:tcW w:type="dxa" w:w="3500"/>
          </w:tcPr>
          <w:p>
            <w:r>
              <w:rPr>
                <w:rFonts w:ascii="Calibri" w:cs="Calibri" w:eastAsia="Calibri" w:hAnsi="Calibri"/>
                <w:b w:val="false"/>
                <w:bCs w:val="false"/>
                <w:sz w:val="20"/>
                <w:szCs w:val="20"/>
              </w:rPr>
              <w:t xml:space="preserve">3. + Additive Attention</w:t>
            </w:r>
          </w:p>
        </w:tc>
        <w:tc>
          <w:tcPr>
            <w:tcW w:type="dxa" w:w="2500"/>
          </w:tcPr>
          <w:p>
            <w:r>
              <w:rPr>
                <w:rFonts w:ascii="Calibri" w:cs="Calibri" w:eastAsia="Calibri" w:hAnsi="Calibri"/>
                <w:b w:val="false"/>
                <w:bCs w:val="false"/>
                <w:sz w:val="20"/>
                <w:szCs w:val="20"/>
              </w:rPr>
              <w:t xml:space="preserve">0.2486</w:t>
            </w:r>
          </w:p>
        </w:tc>
      </w:tr>
      <w:tr>
        <w:tc>
          <w:tcPr>
            <w:tcW w:type="dxa" w:w="3500"/>
          </w:tcPr>
          <w:p>
            <w:r>
              <w:rPr>
                <w:rFonts w:ascii="Calibri" w:cs="Calibri" w:eastAsia="Calibri" w:hAnsi="Calibri"/>
                <w:b/>
                <w:bCs/>
                <w:sz w:val="20"/>
                <w:szCs w:val="20"/>
              </w:rPr>
              <w:t xml:space="preserve">4. + Multiplicative Attention</w:t>
            </w:r>
          </w:p>
        </w:tc>
        <w:tc>
          <w:tcPr>
            <w:tcW w:type="dxa" w:w="2500"/>
          </w:tcPr>
          <w:p>
            <w:r>
              <w:rPr>
                <w:rFonts w:ascii="Calibri" w:cs="Calibri" w:eastAsia="Calibri" w:hAnsi="Calibri"/>
                <w:b/>
                <w:bCs/>
                <w:sz w:val="20"/>
                <w:szCs w:val="20"/>
              </w:rPr>
              <w:t xml:space="preserve">0.2522</w:t>
            </w:r>
          </w:p>
        </w:tc>
      </w:tr>
    </w:tbl>
    <w:p>
      <w:pPr>
        <w:spacing w:after="200"/>
      </w:pPr>
    </w:p>
    <w:p>
      <w:pPr>
        <w:pStyle w:val="Heading2"/>
        <w:spacing w:after="150" w:before="300"/>
      </w:pPr>
      <w:r>
        <w:t xml:space="preserve">4.3 Qualitative Translation Examples</w:t>
      </w:r>
    </w:p>
    <w:p>
      <w:pPr>
        <w:spacing w:after="160"/>
      </w:pPr>
      <w:r>
        <w:rPr>
          <w:rFonts w:ascii="Calibri" w:cs="Calibri" w:eastAsia="Calibri" w:hAnsi="Calibri"/>
          <w:sz w:val="22"/>
          <w:szCs w:val="22"/>
        </w:rPr>
        <w:t xml:space="preserve">Ten test sentences were translated by all four models to allow direct, side-by-side qualitative comparison. Selected representative examples are shown below (full set available in sample_translations.csv).</w:t>
      </w:r>
    </w:p>
    <w:p>
      <w:pPr>
        <w:spacing w:after="80" w:before="200"/>
      </w:pPr>
      <w:r>
        <w:rPr>
          <w:rFonts w:ascii="Calibri" w:cs="Calibri" w:eastAsia="Calibri" w:hAnsi="Calibri"/>
          <w:b/>
          <w:bCs/>
          <w:sz w:val="22"/>
          <w:szCs w:val="22"/>
        </w:rPr>
        <w:t xml:space="preserve">Example 1</w:t>
      </w:r>
    </w:p>
    <w:p>
      <w:pPr>
        <w:spacing w:after="160"/>
      </w:pPr>
      <w:r>
        <w:rPr>
          <w:rFonts w:ascii="Calibri" w:cs="Calibri" w:eastAsia="Calibri" w:hAnsi="Calibri"/>
          <w:sz w:val="22"/>
          <w:szCs w:val="22"/>
        </w:rPr>
        <w:t xml:space="preserve">Source: i know that girl .</w:t>
      </w:r>
    </w:p>
    <w:p>
      <w:pPr>
        <w:spacing w:after="160"/>
      </w:pPr>
      <w:r>
        <w:rPr>
          <w:rFonts w:ascii="Calibri" w:cs="Calibri" w:eastAsia="Calibri" w:hAnsi="Calibri"/>
          <w:sz w:val="22"/>
          <w:szCs w:val="22"/>
        </w:rPr>
        <w:t xml:space="preserve">Reference: conozco a esa chica .</w:t>
      </w:r>
    </w:p>
    <w:p>
      <w:pPr>
        <w:spacing w:after="160"/>
      </w:pPr>
      <w:r>
        <w:rPr>
          <w:rFonts w:ascii="Calibri" w:cs="Calibri" w:eastAsia="Calibri" w:hAnsi="Calibri"/>
          <w:sz w:val="22"/>
          <w:szCs w:val="22"/>
        </w:rPr>
        <w:t xml:space="preserve">RNN: sé conozco eso .</w:t>
      </w:r>
    </w:p>
    <w:p>
      <w:pPr>
        <w:spacing w:after="160"/>
      </w:pPr>
      <w:r>
        <w:rPr>
          <w:rFonts w:ascii="Calibri" w:cs="Calibri" w:eastAsia="Calibri" w:hAnsi="Calibri"/>
          <w:sz w:val="22"/>
          <w:szCs w:val="22"/>
        </w:rPr>
        <w:t xml:space="preserve">Encoder–Decoder: conozco a ese .</w:t>
      </w:r>
    </w:p>
    <w:p>
      <w:pPr>
        <w:spacing w:after="160"/>
      </w:pPr>
      <w:r>
        <w:rPr>
          <w:rFonts w:ascii="Calibri" w:cs="Calibri" w:eastAsia="Calibri" w:hAnsi="Calibri"/>
          <w:sz w:val="22"/>
          <w:szCs w:val="22"/>
        </w:rPr>
        <w:t xml:space="preserve">Additive Attention: sé conozco esa chica .</w:t>
      </w:r>
    </w:p>
    <w:p>
      <w:pPr>
        <w:spacing w:after="160"/>
      </w:pPr>
      <w:r>
        <w:rPr>
          <w:rFonts w:ascii="Calibri" w:cs="Calibri" w:eastAsia="Calibri" w:hAnsi="Calibri"/>
          <w:sz w:val="22"/>
          <w:szCs w:val="22"/>
        </w:rPr>
        <w:t xml:space="preserve">Multiplicative Attention: sé ese chica .</w:t>
      </w:r>
    </w:p>
    <w:p>
      <w:pPr>
        <w:spacing w:after="80" w:before="200"/>
      </w:pPr>
      <w:r>
        <w:rPr>
          <w:rFonts w:ascii="Calibri" w:cs="Calibri" w:eastAsia="Calibri" w:hAnsi="Calibri"/>
          <w:b/>
          <w:bCs/>
          <w:sz w:val="22"/>
          <w:szCs w:val="22"/>
        </w:rPr>
        <w:t xml:space="preserve">Example 2</w:t>
      </w:r>
    </w:p>
    <w:p>
      <w:pPr>
        <w:spacing w:after="160"/>
      </w:pPr>
      <w:r>
        <w:rPr>
          <w:rFonts w:ascii="Calibri" w:cs="Calibri" w:eastAsia="Calibri" w:hAnsi="Calibri"/>
          <w:sz w:val="22"/>
          <w:szCs w:val="22"/>
        </w:rPr>
        <w:t xml:space="preserve">Source: where's the catch ?</w:t>
      </w:r>
    </w:p>
    <w:p>
      <w:pPr>
        <w:spacing w:after="160"/>
      </w:pPr>
      <w:r>
        <w:rPr>
          <w:rFonts w:ascii="Calibri" w:cs="Calibri" w:eastAsia="Calibri" w:hAnsi="Calibri"/>
          <w:sz w:val="22"/>
          <w:szCs w:val="22"/>
        </w:rPr>
        <w:t xml:space="preserve">Reference: dónde está el truco ?</w:t>
      </w:r>
    </w:p>
    <w:p>
      <w:pPr>
        <w:spacing w:after="160"/>
      </w:pPr>
      <w:r>
        <w:rPr>
          <w:rFonts w:ascii="Calibri" w:cs="Calibri" w:eastAsia="Calibri" w:hAnsi="Calibri"/>
          <w:sz w:val="22"/>
          <w:szCs w:val="22"/>
        </w:rPr>
        <w:t xml:space="preserve">RNN: dónde está la la ?</w:t>
      </w:r>
    </w:p>
    <w:p>
      <w:pPr>
        <w:spacing w:after="160"/>
      </w:pPr>
      <w:r>
        <w:rPr>
          <w:rFonts w:ascii="Calibri" w:cs="Calibri" w:eastAsia="Calibri" w:hAnsi="Calibri"/>
          <w:sz w:val="22"/>
          <w:szCs w:val="22"/>
        </w:rPr>
        <w:t xml:space="preserve">Encoder–Decoder: dónde está la playa ?</w:t>
      </w:r>
    </w:p>
    <w:p>
      <w:pPr>
        <w:spacing w:after="160"/>
      </w:pPr>
      <w:r>
        <w:rPr>
          <w:rFonts w:ascii="Calibri" w:cs="Calibri" w:eastAsia="Calibri" w:hAnsi="Calibri"/>
          <w:sz w:val="22"/>
          <w:szCs w:val="22"/>
        </w:rPr>
        <w:t xml:space="preserve">Additive Attention: dónde está la &lt;unk&gt; ?</w:t>
      </w:r>
    </w:p>
    <w:p>
      <w:pPr>
        <w:spacing w:after="160"/>
      </w:pPr>
      <w:r>
        <w:rPr>
          <w:rFonts w:ascii="Calibri" w:cs="Calibri" w:eastAsia="Calibri" w:hAnsi="Calibri"/>
          <w:sz w:val="22"/>
          <w:szCs w:val="22"/>
        </w:rPr>
        <w:t xml:space="preserve">Multiplicative Attention: dónde está la ?</w:t>
      </w:r>
    </w:p>
    <w:p>
      <w:pPr>
        <w:spacing w:after="80" w:before="200"/>
      </w:pPr>
      <w:r>
        <w:rPr>
          <w:rFonts w:ascii="Calibri" w:cs="Calibri" w:eastAsia="Calibri" w:hAnsi="Calibri"/>
          <w:b/>
          <w:bCs/>
          <w:sz w:val="22"/>
          <w:szCs w:val="22"/>
        </w:rPr>
        <w:t xml:space="preserve">Example 3</w:t>
      </w:r>
    </w:p>
    <w:p>
      <w:pPr>
        <w:spacing w:after="160"/>
      </w:pPr>
      <w:r>
        <w:rPr>
          <w:rFonts w:ascii="Calibri" w:cs="Calibri" w:eastAsia="Calibri" w:hAnsi="Calibri"/>
          <w:sz w:val="22"/>
          <w:szCs w:val="22"/>
        </w:rPr>
        <w:t xml:space="preserve">Source: find tom .</w:t>
      </w:r>
    </w:p>
    <w:p>
      <w:pPr>
        <w:spacing w:after="160"/>
      </w:pPr>
      <w:r>
        <w:rPr>
          <w:rFonts w:ascii="Calibri" w:cs="Calibri" w:eastAsia="Calibri" w:hAnsi="Calibri"/>
          <w:sz w:val="22"/>
          <w:szCs w:val="22"/>
        </w:rPr>
        <w:t xml:space="preserve">Reference: encuéntrenlo a tomás .</w:t>
      </w:r>
    </w:p>
    <w:p>
      <w:pPr>
        <w:spacing w:after="160"/>
      </w:pPr>
      <w:r>
        <w:rPr>
          <w:rFonts w:ascii="Calibri" w:cs="Calibri" w:eastAsia="Calibri" w:hAnsi="Calibri"/>
          <w:sz w:val="22"/>
          <w:szCs w:val="22"/>
        </w:rPr>
        <w:t xml:space="preserve">RNN: &lt;unk&gt; a tom .</w:t>
      </w:r>
    </w:p>
    <w:p>
      <w:pPr>
        <w:spacing w:after="160"/>
      </w:pPr>
      <w:r>
        <w:rPr>
          <w:rFonts w:ascii="Calibri" w:cs="Calibri" w:eastAsia="Calibri" w:hAnsi="Calibri"/>
          <w:sz w:val="22"/>
          <w:szCs w:val="22"/>
        </w:rPr>
        <w:t xml:space="preserve">Encoder–Decoder: &lt;unk&gt; a tom .</w:t>
      </w:r>
    </w:p>
    <w:p>
      <w:pPr>
        <w:spacing w:after="160"/>
      </w:pPr>
      <w:r>
        <w:rPr>
          <w:rFonts w:ascii="Calibri" w:cs="Calibri" w:eastAsia="Calibri" w:hAnsi="Calibri"/>
          <w:sz w:val="22"/>
          <w:szCs w:val="22"/>
        </w:rPr>
        <w:t xml:space="preserve">Additive Attention: &lt;unk&gt; a tom .</w:t>
      </w:r>
    </w:p>
    <w:p>
      <w:pPr>
        <w:spacing w:after="160"/>
      </w:pPr>
      <w:r>
        <w:rPr>
          <w:rFonts w:ascii="Calibri" w:cs="Calibri" w:eastAsia="Calibri" w:hAnsi="Calibri"/>
          <w:sz w:val="22"/>
          <w:szCs w:val="22"/>
        </w:rPr>
        <w:t xml:space="preserve">Multiplicative Attention: encuentra a tom .</w:t>
      </w:r>
    </w:p>
    <w:p>
      <w:pPr>
        <w:spacing w:after="80" w:before="200"/>
      </w:pPr>
      <w:r>
        <w:rPr>
          <w:rFonts w:ascii="Calibri" w:cs="Calibri" w:eastAsia="Calibri" w:hAnsi="Calibri"/>
          <w:b/>
          <w:bCs/>
          <w:sz w:val="22"/>
          <w:szCs w:val="22"/>
        </w:rPr>
        <w:t xml:space="preserve">Example 4</w:t>
      </w:r>
    </w:p>
    <w:p>
      <w:pPr>
        <w:spacing w:after="160"/>
      </w:pPr>
      <w:r>
        <w:rPr>
          <w:rFonts w:ascii="Calibri" w:cs="Calibri" w:eastAsia="Calibri" w:hAnsi="Calibri"/>
          <w:sz w:val="22"/>
          <w:szCs w:val="22"/>
        </w:rPr>
        <w:t xml:space="preserve">Source: it's a problem .</w:t>
      </w:r>
    </w:p>
    <w:p>
      <w:pPr>
        <w:spacing w:after="160"/>
      </w:pPr>
      <w:r>
        <w:rPr>
          <w:rFonts w:ascii="Calibri" w:cs="Calibri" w:eastAsia="Calibri" w:hAnsi="Calibri"/>
          <w:sz w:val="22"/>
          <w:szCs w:val="22"/>
        </w:rPr>
        <w:t xml:space="preserve">Reference: ese es un problema .</w:t>
      </w:r>
    </w:p>
    <w:p>
      <w:pPr>
        <w:spacing w:after="160"/>
      </w:pPr>
      <w:r>
        <w:rPr>
          <w:rFonts w:ascii="Calibri" w:cs="Calibri" w:eastAsia="Calibri" w:hAnsi="Calibri"/>
          <w:sz w:val="22"/>
          <w:szCs w:val="22"/>
        </w:rPr>
        <w:t xml:space="preserve">RNN: es un &lt;unk&gt; .</w:t>
      </w:r>
    </w:p>
    <w:p>
      <w:pPr>
        <w:spacing w:after="160"/>
      </w:pPr>
      <w:r>
        <w:rPr>
          <w:rFonts w:ascii="Calibri" w:cs="Calibri" w:eastAsia="Calibri" w:hAnsi="Calibri"/>
          <w:sz w:val="22"/>
          <w:szCs w:val="22"/>
        </w:rPr>
        <w:t xml:space="preserve">Encoder–Decoder: es un problema .</w:t>
      </w:r>
    </w:p>
    <w:p>
      <w:pPr>
        <w:spacing w:after="160"/>
      </w:pPr>
      <w:r>
        <w:rPr>
          <w:rFonts w:ascii="Calibri" w:cs="Calibri" w:eastAsia="Calibri" w:hAnsi="Calibri"/>
          <w:sz w:val="22"/>
          <w:szCs w:val="22"/>
        </w:rPr>
        <w:t xml:space="preserve">Additive Attention: es es un problema .</w:t>
      </w:r>
    </w:p>
    <w:p>
      <w:pPr>
        <w:spacing w:after="160"/>
      </w:pPr>
      <w:r>
        <w:rPr>
          <w:rFonts w:ascii="Calibri" w:cs="Calibri" w:eastAsia="Calibri" w:hAnsi="Calibri"/>
          <w:sz w:val="22"/>
          <w:szCs w:val="22"/>
        </w:rPr>
        <w:t xml:space="preserve">Multiplicative Attention: es un problema .</w:t>
      </w:r>
    </w:p>
    <w:p>
      <w:pPr>
        <w:spacing w:after="80" w:before="200"/>
      </w:pPr>
      <w:r>
        <w:rPr>
          <w:rFonts w:ascii="Calibri" w:cs="Calibri" w:eastAsia="Calibri" w:hAnsi="Calibri"/>
          <w:b/>
          <w:bCs/>
          <w:sz w:val="22"/>
          <w:szCs w:val="22"/>
        </w:rPr>
        <w:t xml:space="preserve">Example 5</w:t>
      </w:r>
    </w:p>
    <w:p>
      <w:pPr>
        <w:spacing w:after="160"/>
      </w:pPr>
      <w:r>
        <w:rPr>
          <w:rFonts w:ascii="Calibri" w:cs="Calibri" w:eastAsia="Calibri" w:hAnsi="Calibri"/>
          <w:sz w:val="22"/>
          <w:szCs w:val="22"/>
        </w:rPr>
        <w:t xml:space="preserve">Source: they're mine .</w:t>
      </w:r>
    </w:p>
    <w:p>
      <w:pPr>
        <w:spacing w:after="160"/>
      </w:pPr>
      <w:r>
        <w:rPr>
          <w:rFonts w:ascii="Calibri" w:cs="Calibri" w:eastAsia="Calibri" w:hAnsi="Calibri"/>
          <w:sz w:val="22"/>
          <w:szCs w:val="22"/>
        </w:rPr>
        <w:t xml:space="preserve">Reference: ellos son míos .</w:t>
      </w:r>
    </w:p>
    <w:p>
      <w:pPr>
        <w:spacing w:after="160"/>
      </w:pPr>
      <w:r>
        <w:rPr>
          <w:rFonts w:ascii="Calibri" w:cs="Calibri" w:eastAsia="Calibri" w:hAnsi="Calibri"/>
          <w:sz w:val="22"/>
          <w:szCs w:val="22"/>
        </w:rPr>
        <w:t xml:space="preserve">RNN: son míos .</w:t>
      </w:r>
    </w:p>
    <w:p>
      <w:pPr>
        <w:spacing w:after="160"/>
      </w:pPr>
      <w:r>
        <w:rPr>
          <w:rFonts w:ascii="Calibri" w:cs="Calibri" w:eastAsia="Calibri" w:hAnsi="Calibri"/>
          <w:sz w:val="22"/>
          <w:szCs w:val="22"/>
        </w:rPr>
        <w:t xml:space="preserve">Encoder–Decoder: son míos .</w:t>
      </w:r>
    </w:p>
    <w:p>
      <w:pPr>
        <w:spacing w:after="160"/>
      </w:pPr>
      <w:r>
        <w:rPr>
          <w:rFonts w:ascii="Calibri" w:cs="Calibri" w:eastAsia="Calibri" w:hAnsi="Calibri"/>
          <w:sz w:val="22"/>
          <w:szCs w:val="22"/>
        </w:rPr>
        <w:t xml:space="preserve">Additive Attention: son míos .</w:t>
      </w:r>
    </w:p>
    <w:p>
      <w:pPr>
        <w:spacing w:after="160"/>
      </w:pPr>
      <w:r>
        <w:rPr>
          <w:rFonts w:ascii="Calibri" w:cs="Calibri" w:eastAsia="Calibri" w:hAnsi="Calibri"/>
          <w:sz w:val="22"/>
          <w:szCs w:val="22"/>
        </w:rPr>
        <w:t xml:space="preserve">Multiplicative Attention: son míos .</w:t>
      </w:r>
    </w:p>
    <w:p>
      <w:pPr>
        <w:pStyle w:val="Heading1"/>
        <w:spacing w:after="200" w:before="400"/>
      </w:pPr>
      <w:r>
        <w:t xml:space="preserve">5. Discussion</w:t>
      </w:r>
    </w:p>
    <w:p>
      <w:pPr>
        <w:pStyle w:val="Heading2"/>
        <w:spacing w:after="150" w:before="300"/>
      </w:pPr>
      <w:r>
        <w:t xml:space="preserve">5.1 The Fixed-Length Bottleneck: Model 1 vs. Model 2</w:t>
      </w:r>
    </w:p>
    <w:p>
      <w:pPr>
        <w:spacing w:after="160"/>
      </w:pPr>
      <w:r>
        <w:rPr>
          <w:rFonts w:ascii="Calibri" w:cs="Calibri" w:eastAsia="Calibri" w:hAnsi="Calibri"/>
          <w:sz w:val="22"/>
          <w:szCs w:val="22"/>
        </w:rPr>
        <w:t xml:space="preserve">Contrary to the intuition that additional depth and cleaner architectural separation should improve performance, Model 2 (Encoder–Decoder) performed marginally worse than Model 1 on both validation loss (1.9773 vs. 1.9567) and BLEU score (0.2269 vs. 0.2376), despite having 60% more parameters (8.45M vs. 5.30M). Both models reached their best validation performance at the identical epoch (5), and both exhibited near-identical overfitting trajectories thereafter. This is strong evidence for the fixed-length bottleneck problem described in the literature: because neither model has any mechanism to reference specific parts of the source sentence during decoding, additional parameters and depth do not translate into better generalization — they are still fundamentally constrained by the requirement to compress an entire sentence into a single fixed-size vector. The extra capacity in Model 2 appears to be absorbed by increased overfitting rather than genuine improvements in translation quality.</w:t>
      </w:r>
    </w:p>
    <w:p>
      <w:pPr>
        <w:pStyle w:val="Heading2"/>
        <w:spacing w:after="150" w:before="300"/>
      </w:pPr>
      <w:r>
        <w:t xml:space="preserve">5.2 The Effect of Attention: Models 3 and 4 vs. Models 1 and 2</w:t>
      </w:r>
    </w:p>
    <w:p>
      <w:pPr>
        <w:spacing w:after="160"/>
      </w:pPr>
      <w:r>
        <w:rPr>
          <w:rFonts w:ascii="Calibri" w:cs="Calibri" w:eastAsia="Calibri" w:hAnsi="Calibri"/>
          <w:sz w:val="22"/>
          <w:szCs w:val="22"/>
        </w:rPr>
        <w:t xml:space="preserve">Both attention-based models outperformed both non-attention models on BLEU score (Additive: 0.2486, Multiplicative: 0.2522, vs. RNN: 0.2376, Encoder–Decoder: 0.2269), supporting the core hypothesis that attention mechanisms alleviate the fixed-length bottleneck by giving the decoder direct access to all encoder hidden states rather than a single compressed summary. This is qualitatively visible in Example 1 ("i know that girl ."): the Additive Attention model correctly preserves "esa chica" (that girl) in its output, while both non-attention models drop this information entirely, producing incomplete translations ("eso", "ese"). This is precisely the kind of information loss attention is designed to prevent — the source phrase "that girl" appears mid-sentence, and non-attention models must retain this detail purely through the bottleneck vector, whereas attention models can look back at the relevant encoder state directly when generating the corresponding output.</w:t>
      </w:r>
    </w:p>
    <w:p>
      <w:pPr>
        <w:spacing w:after="160"/>
      </w:pPr>
      <w:r>
        <w:rPr>
          <w:rFonts w:ascii="Calibri" w:cs="Calibri" w:eastAsia="Calibri" w:hAnsi="Calibri"/>
          <w:sz w:val="22"/>
          <w:szCs w:val="22"/>
        </w:rPr>
        <w:t xml:space="preserve">Notably, Model 3 (Additive Attention) reached its best validation loss at epoch 2 — substantially faster than every other model (epoch 5). This suggests that direct access to encoder states allows the model to learn useful source-target alignments much more quickly, though it also begins overfitting sooner, consistent with its larger parameter count (13.36M, the largest of the four models).</w:t>
      </w:r>
    </w:p>
    <w:p>
      <w:pPr>
        <w:pStyle w:val="Heading2"/>
        <w:spacing w:after="150" w:before="300"/>
      </w:pPr>
      <w:r>
        <w:t xml:space="preserve">5.3 Additive vs. Multiplicative Attention: A Cost-Benefit Trade-off</w:t>
      </w:r>
    </w:p>
    <w:p>
      <w:pPr>
        <w:spacing w:after="160"/>
      </w:pPr>
      <w:r>
        <w:rPr>
          <w:rFonts w:ascii="Calibri" w:cs="Calibri" w:eastAsia="Calibri" w:hAnsi="Calibri"/>
          <w:sz w:val="22"/>
          <w:szCs w:val="22"/>
        </w:rPr>
        <w:t xml:space="preserve">Multiplicative (Luong) attention achieved the best overall results on both metrics (val_loss 1.9362, BLEU 0.2522) while using fewer than half the parameters of the additive model (6.09M vs. 13.36M) and training roughly twice as fast per epoch (~30s vs. ~67s). This is a substantial efficiency advantage for comparable or better translation quality, and is consistent with the theoretical expectation that a bilinear scoring function (a single matrix multiplication) is both cheaper to compute and easier to optimize than a feedforward network with a nonlinearity, since it requires no additional hidden layer.</w:t>
      </w:r>
    </w:p>
    <w:p>
      <w:pPr>
        <w:spacing w:after="160"/>
      </w:pPr>
      <w:r>
        <w:rPr>
          <w:rFonts w:ascii="Calibri" w:cs="Calibri" w:eastAsia="Calibri" w:hAnsi="Calibri"/>
          <w:sz w:val="22"/>
          <w:szCs w:val="22"/>
        </w:rPr>
        <w:t xml:space="preserve">Two confounding architectural differences should be noted, however: Model 3 uses a bidirectional encoder while Model 4 uses a unidirectional encoder, and Model 3 computes attention before the decoder RNN step while Model 4 computes it after. Both differences reflect the original Bahdanau and Luong formulations respectively, but mean that the comparison is not a controlled test of additive-vs-multiplicative scoring in isolation — the bidirectionality difference in particular could plausibly account for some of the performance gap, since bidirectional encoding generally provides richer per-position representations. A stricter ablation (holding encoder directionality fixed and varying only the scoring function) would be needed to attribute the difference purely to the scoring mechanism, and is noted here as a limitation.</w:t>
      </w:r>
    </w:p>
    <w:p>
      <w:pPr>
        <w:pStyle w:val="Heading2"/>
        <w:spacing w:after="150" w:before="300"/>
      </w:pPr>
      <w:r>
        <w:t xml:space="preserve">5.4 Vocabulary Coverage as a Shared Limitation</w:t>
      </w:r>
    </w:p>
    <w:p>
      <w:pPr>
        <w:spacing w:after="160"/>
      </w:pPr>
      <w:r>
        <w:rPr>
          <w:rFonts w:ascii="Calibri" w:cs="Calibri" w:eastAsia="Calibri" w:hAnsi="Calibri"/>
          <w:sz w:val="22"/>
          <w:szCs w:val="22"/>
        </w:rPr>
        <w:t xml:space="preserve">Across all four models, the dominant failure mode observed in the qualitative examples was not architectural but lexical: sentences containing lower-frequency words (e.g. "grunted", "dismissed", "shave") consistently produced &lt;unk&gt; tokens in the output, regardless of architecture. This stems from the vocabulary construction step, where words appearing fewer than 2 times in the training set were excluded. This is a dataset-scale limitation rather than an architectural one, and suggests that with a larger training corpus, all four models — but particularly the attention-based ones, which better preserve source information — would likely see further BLEU improvements.</w:t>
      </w:r>
    </w:p>
    <w:p>
      <w:pPr>
        <w:pStyle w:val="Heading2"/>
        <w:spacing w:after="150" w:before="300"/>
      </w:pPr>
      <w:r>
        <w:t xml:space="preserve">5.5 Strengths and Limitations Summary</w:t>
      </w:r>
    </w:p>
    <w:p>
      <w:pPr>
        <w:spacing w:after="160"/>
      </w:pPr>
      <w:r>
        <w:rPr>
          <w:rFonts w:ascii="Calibri" w:cs="Calibri" w:eastAsia="Calibri" w:hAnsi="Calibri"/>
          <w:sz w:val="22"/>
          <w:szCs w:val="22"/>
        </w:rPr>
        <w:t xml:space="preserve">In summary: (1) attention mechanisms provide a measurable, consistent improvement over non-attention baselines on this dataset and task; (2) multiplicative attention offers a substantially better efficiency-to-performance ratio than additive attention in this comparison, though the encoder-directionality confound limits how cleanly this can be attributed to the scoring function alone; (3) all four models are limited more by vocabulary coverage (a data-scale issue) than by architecture at this dataset size; and (4) all models show clear overfitting after their best epoch, indicating that regularization (e.g. stronger dropout, weight decay, or early stopping) and/or a larger training set would likely benefit all four architectures roughly equally.</w:t>
      </w:r>
    </w:p>
    <w:p>
      <w:pPr>
        <w:pStyle w:val="Heading1"/>
        <w:spacing w:after="200" w:before="400"/>
      </w:pPr>
      <w:r>
        <w:t xml:space="preserve">6. Conclusion</w:t>
      </w:r>
    </w:p>
    <w:p>
      <w:pPr>
        <w:spacing w:after="160"/>
      </w:pPr>
      <w:r>
        <w:rPr>
          <w:rFonts w:ascii="Calibri" w:cs="Calibri" w:eastAsia="Calibri" w:hAnsi="Calibri"/>
          <w:sz w:val="22"/>
          <w:szCs w:val="22"/>
        </w:rPr>
        <w:t xml:space="preserve">This study compared four neural machine translation architectures of increasing sophistication under controlled, identical training conditions on an English–Spanish translation task. The results empirically confirm the well-established fixed-length bottleneck problem: a plain encoder–decoder model, despite additional depth and capacity relative to a single RNN, showed no improvement in translation quality, since both share the same fundamental limitation of compressing an entire source sentence into one fixed-size vector.</w:t>
      </w:r>
    </w:p>
    <w:p>
      <w:pPr>
        <w:spacing w:after="160"/>
      </w:pPr>
      <w:r>
        <w:rPr>
          <w:rFonts w:ascii="Calibri" w:cs="Calibri" w:eastAsia="Calibri" w:hAnsi="Calibri"/>
          <w:sz w:val="22"/>
          <w:szCs w:val="22"/>
        </w:rPr>
        <w:t xml:space="preserve">Introducing attention consistently improved performance over both non-attention baselines, confirming that giving the decoder access to all encoder hidden states — rather than a single summary vector — allows the model to better preserve and use source-sentence information, particularly for sentences with information located away from the sentence boundary. Between the two attention variants tested, multiplicative (Luong) attention achieved marginally better BLEU and validation loss than additive (Bahdanau) attention, while requiring under half the parameters and roughly half the training time per epoch — a favorable efficiency trade-off, though this study's architectural differences beyond the scoring function (encoder directionality, attention placement relative to the decoder step) mean this result should not be read as a pure, isolated comparison of additive versus multiplicative scoring.</w:t>
      </w:r>
    </w:p>
    <w:p>
      <w:pPr>
        <w:spacing w:after="160"/>
      </w:pPr>
      <w:r>
        <w:rPr>
          <w:rFonts w:ascii="Calibri" w:cs="Calibri" w:eastAsia="Calibri" w:hAnsi="Calibri"/>
          <w:sz w:val="22"/>
          <w:szCs w:val="22"/>
        </w:rPr>
        <w:t xml:space="preserve">The primary limitation shared across all four models was vocabulary coverage rather than architecture: rare words were consistently mistranslated as &lt;unk&gt; regardless of model choice, pointing to dataset scale as the more binding constraint at this experimental scale. Future work could address this by training on a larger sentence-pair corpus, applying subword tokenization (e.g. Byte-Pair Encoding) to reduce out-of-vocabulary occurrences, incorporating stronger regularization to mitigate the overfitting observed after each model's best epoch, and conducting a stricter ablation study that isolates the attention scoring function from the confounding architectural differences noted in Section 5.3.</w:t>
      </w:r>
    </w:p>
    <w:p>
      <w:pPr>
        <w:pStyle w:val="Heading1"/>
        <w:spacing w:after="200" w:before="400"/>
      </w:pPr>
      <w:r>
        <w:t xml:space="preserve">7. References</w:t>
      </w:r>
    </w:p>
    <w:p>
      <w:pPr>
        <w:spacing w:after="160"/>
      </w:pPr>
      <w:r>
        <w:rPr>
          <w:rFonts w:ascii="Calibri" w:cs="Calibri" w:eastAsia="Calibri" w:hAnsi="Calibri"/>
          <w:sz w:val="22"/>
          <w:szCs w:val="22"/>
        </w:rPr>
        <w:t xml:space="preserve">Sutskever, I., Vinyals, O., &amp; Le, Q. V. (2014). Sequence to sequence learning with neural networks. Advances in Neural Information Processing Systems, 27.</w:t>
      </w:r>
    </w:p>
    <w:p>
      <w:pPr>
        <w:spacing w:after="160"/>
      </w:pPr>
      <w:r>
        <w:rPr>
          <w:rFonts w:ascii="Calibri" w:cs="Calibri" w:eastAsia="Calibri" w:hAnsi="Calibri"/>
          <w:sz w:val="22"/>
          <w:szCs w:val="22"/>
        </w:rPr>
        <w:t xml:space="preserve">Bahdanau, D., Cho, K., &amp; Bengio, Y. (2015). Neural machine translation by jointly learning to align and translate. International Conference on Learning Representations (ICLR).</w:t>
      </w:r>
    </w:p>
    <w:p>
      <w:pPr>
        <w:spacing w:after="160"/>
      </w:pPr>
      <w:r>
        <w:rPr>
          <w:rFonts w:ascii="Calibri" w:cs="Calibri" w:eastAsia="Calibri" w:hAnsi="Calibri"/>
          <w:sz w:val="22"/>
          <w:szCs w:val="22"/>
        </w:rPr>
        <w:t xml:space="preserve">Luong, M.-T., Pham, H., &amp; Manning, C. D. (2015). Effective approaches to attention-based neural machine translation. Proceedings of EMNLP 2015.</w:t>
      </w:r>
    </w:p>
    <w:p>
      <w:pPr>
        <w:spacing w:after="160"/>
      </w:pPr>
      <w:r>
        <w:rPr>
          <w:rFonts w:ascii="Calibri" w:cs="Calibri" w:eastAsia="Calibri" w:hAnsi="Calibri"/>
          <w:sz w:val="22"/>
          <w:szCs w:val="22"/>
        </w:rPr>
        <w:t xml:space="preserve">ManyThings.org. Anki Language Datasets — English–Spanish sentence pairs. https://www.manythings.org/anki/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2026-08-18T15:27:34.066Z</dcterms:created>
  <dcterms:modified xsi:type="dcterms:W3CDTF">2026-08-18T15:27:34.079Z</dcterms:modified>
</cp:coreProperties>
</file>

<file path=docProps/custom.xml><?xml version="1.0" encoding="utf-8"?>
<Properties xmlns="http://schemas.openxmlformats.org/officeDocument/2006/custom-properties" xmlns:vt="http://schemas.openxmlformats.org/officeDocument/2006/docPropsVTypes"/>
</file>