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86D0" w14:textId="77777777" w:rsidR="001E0A2B" w:rsidRPr="001E0A2B" w:rsidRDefault="001E0A2B" w:rsidP="001E0A2B">
      <w:pPr>
        <w:spacing w:after="120" w:line="240" w:lineRule="auto"/>
        <w:jc w:val="center"/>
        <w:rPr>
          <w:rFonts w:ascii="Calibri" w:eastAsia="Arial" w:hAnsi="Calibri" w:cs="Calibri"/>
          <w:b/>
          <w:bCs/>
          <w:color w:val="6B21C8"/>
          <w:kern w:val="0"/>
          <w:sz w:val="28"/>
          <w:szCs w:val="28"/>
          <w14:ligatures w14:val="none"/>
        </w:rPr>
      </w:pPr>
      <w:proofErr w:type="spellStart"/>
      <w:r w:rsidRPr="001E0A2B">
        <w:rPr>
          <w:rFonts w:ascii="Calibri" w:eastAsia="Arial" w:hAnsi="Calibri" w:cs="Calibri"/>
          <w:b/>
          <w:bCs/>
          <w:color w:val="6B21C8"/>
          <w:kern w:val="0"/>
          <w:sz w:val="28"/>
          <w:szCs w:val="28"/>
          <w14:ligatures w14:val="none"/>
        </w:rPr>
        <w:t>PayGuard</w:t>
      </w:r>
      <w:proofErr w:type="spellEnd"/>
      <w:r w:rsidRPr="001E0A2B">
        <w:rPr>
          <w:rFonts w:ascii="Calibri" w:eastAsia="Arial" w:hAnsi="Calibri" w:cs="Calibri"/>
          <w:b/>
          <w:bCs/>
          <w:color w:val="6B21C8"/>
          <w:kern w:val="0"/>
          <w:sz w:val="28"/>
          <w:szCs w:val="28"/>
          <w14:ligatures w14:val="none"/>
        </w:rPr>
        <w:t xml:space="preserve"> AI: Explainable Agentic Generative AI </w:t>
      </w:r>
    </w:p>
    <w:p w14:paraId="33F5A41E" w14:textId="77777777" w:rsidR="001E0A2B" w:rsidRPr="001E0A2B" w:rsidRDefault="001E0A2B" w:rsidP="001E0A2B">
      <w:pPr>
        <w:spacing w:after="120" w:line="240" w:lineRule="auto"/>
        <w:jc w:val="center"/>
        <w:rPr>
          <w:rFonts w:ascii="Calibri" w:eastAsia="Arial" w:hAnsi="Calibri" w:cs="Calibri"/>
          <w:b/>
          <w:bCs/>
          <w:color w:val="6B21C8"/>
          <w:kern w:val="0"/>
          <w:sz w:val="28"/>
          <w:szCs w:val="28"/>
          <w14:ligatures w14:val="none"/>
        </w:rPr>
      </w:pPr>
      <w:r w:rsidRPr="001E0A2B">
        <w:rPr>
          <w:rFonts w:ascii="Calibri" w:eastAsia="Arial" w:hAnsi="Calibri" w:cs="Calibri"/>
          <w:b/>
          <w:bCs/>
          <w:color w:val="6B21C8"/>
          <w:kern w:val="0"/>
          <w:sz w:val="28"/>
          <w:szCs w:val="28"/>
          <w14:ligatures w14:val="none"/>
        </w:rPr>
        <w:t>for Fraud, Waste, and Abuse Detection in Healthcare Payment Integrity</w:t>
      </w:r>
    </w:p>
    <w:p w14:paraId="71A5E278" w14:textId="77777777" w:rsidR="001E0A2B" w:rsidRPr="001E0A2B" w:rsidRDefault="001E0A2B" w:rsidP="001E0A2B">
      <w:pPr>
        <w:spacing w:after="40" w:line="240" w:lineRule="auto"/>
        <w:jc w:val="center"/>
        <w:rPr>
          <w:rFonts w:ascii="Calibri" w:eastAsia="Arial" w:hAnsi="Calibri" w:cs="Calibri"/>
          <w:b/>
          <w:bCs/>
          <w:color w:val="4A0080"/>
          <w:kern w:val="0"/>
          <w:sz w:val="22"/>
          <w:szCs w:val="22"/>
          <w14:ligatures w14:val="none"/>
        </w:rPr>
      </w:pPr>
      <w:r w:rsidRPr="001E0A2B">
        <w:rPr>
          <w:rFonts w:ascii="Calibri" w:eastAsia="Arial" w:hAnsi="Calibri" w:cs="Calibri"/>
          <w:b/>
          <w:bCs/>
          <w:color w:val="4A0080"/>
          <w:kern w:val="0"/>
          <w:sz w:val="22"/>
          <w:szCs w:val="22"/>
          <w14:ligatures w14:val="none"/>
        </w:rPr>
        <w:t>Clinical Decision Making and Pattern Recognition in Healthcare</w:t>
      </w:r>
    </w:p>
    <w:p w14:paraId="03EE120E" w14:textId="77777777" w:rsidR="001E0A2B" w:rsidRPr="001E0A2B" w:rsidRDefault="001E0A2B" w:rsidP="001E0A2B">
      <w:pPr>
        <w:spacing w:after="40" w:line="240" w:lineRule="auto"/>
        <w:jc w:val="center"/>
        <w:rPr>
          <w:rFonts w:ascii="Calibri" w:eastAsia="Arial" w:hAnsi="Calibri" w:cs="Calibri"/>
          <w:kern w:val="0"/>
          <w:sz w:val="18"/>
          <w:szCs w:val="18"/>
          <w14:ligatures w14:val="none"/>
        </w:rPr>
      </w:pPr>
      <w:r w:rsidRPr="001E0A2B">
        <w:rPr>
          <w:rFonts w:ascii="Calibri" w:eastAsia="Arial" w:hAnsi="Calibri" w:cs="Calibri"/>
          <w:kern w:val="0"/>
          <w:sz w:val="18"/>
          <w:szCs w:val="18"/>
          <w14:ligatures w14:val="none"/>
        </w:rPr>
        <w:t xml:space="preserve">Neha Save </w:t>
      </w:r>
      <w:proofErr w:type="gramStart"/>
      <w:r w:rsidRPr="001E0A2B">
        <w:rPr>
          <w:rFonts w:ascii="Calibri" w:eastAsia="Arial" w:hAnsi="Calibri" w:cs="Calibri"/>
          <w:kern w:val="0"/>
          <w:sz w:val="18"/>
          <w:szCs w:val="18"/>
          <w14:ligatures w14:val="none"/>
        </w:rPr>
        <w:t>|  MS</w:t>
      </w:r>
      <w:proofErr w:type="gramEnd"/>
      <w:r w:rsidRPr="001E0A2B">
        <w:rPr>
          <w:rFonts w:ascii="Calibri" w:eastAsia="Arial" w:hAnsi="Calibri" w:cs="Calibri"/>
          <w:kern w:val="0"/>
          <w:sz w:val="18"/>
          <w:szCs w:val="18"/>
          <w14:ligatures w14:val="none"/>
        </w:rPr>
        <w:t xml:space="preserve"> Analytics, Northeastern University</w:t>
      </w:r>
    </w:p>
    <w:p w14:paraId="5F374B52" w14:textId="77777777" w:rsidR="001E0A2B" w:rsidRPr="001E0A2B" w:rsidRDefault="001E0A2B" w:rsidP="001E0A2B">
      <w:pPr>
        <w:spacing w:after="40" w:line="240" w:lineRule="auto"/>
        <w:jc w:val="center"/>
        <w:rPr>
          <w:rFonts w:ascii="Calibri" w:eastAsia="Arial" w:hAnsi="Calibri" w:cs="Calibri"/>
          <w:kern w:val="0"/>
          <w14:ligatures w14:val="none"/>
        </w:rPr>
      </w:pPr>
    </w:p>
    <w:p w14:paraId="67517762" w14:textId="77777777" w:rsidR="001E0A2B" w:rsidRPr="001E0A2B" w:rsidRDefault="001E0A2B" w:rsidP="001E0A2B">
      <w:pPr>
        <w:spacing w:before="130" w:after="55" w:line="240" w:lineRule="auto"/>
        <w:jc w:val="both"/>
        <w:outlineLvl w:val="0"/>
        <w:rPr>
          <w:rFonts w:ascii="Calibri" w:eastAsia="Arial" w:hAnsi="Calibri" w:cs="Calibri"/>
          <w:b/>
          <w:bCs/>
          <w:color w:val="1A0533"/>
          <w:kern w:val="0"/>
          <w14:ligatures w14:val="none"/>
        </w:rPr>
      </w:pPr>
      <w:r w:rsidRPr="001E0A2B">
        <w:rPr>
          <w:rFonts w:ascii="Calibri" w:eastAsia="Arial" w:hAnsi="Calibri" w:cs="Calibri"/>
          <w:b/>
          <w:bCs/>
          <w:color w:val="1A0533"/>
          <w:kern w:val="0"/>
          <w14:ligatures w14:val="none"/>
        </w:rPr>
        <w:t>1. Concept and Motivation</w:t>
      </w:r>
    </w:p>
    <w:p w14:paraId="3B5DC856"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kern w:val="0"/>
          <w:sz w:val="22"/>
          <w:szCs w:val="22"/>
          <w14:ligatures w14:val="none"/>
        </w:rPr>
        <w:t>Healthcare fraud, waste, and abuse (FWA) is fundamentally a pattern-recognition and clinical inference problem: deciding, for each claim, whether the procedures billed are justified by the documented patient presentation and consistent with payer coverage policy. The U.S. Department of Health and Human Services Office of Inspector General has identified fraud risk as a major and escalating vulnerability in Medicare and provider billing, with billions of dollars in confirmed fraud, improper payments, and overpayments addressed through its work plan each year (HHS OIG, 2026). Traditional payment integrity relies on deterministic rule engines and retrospective statistical models that catch known billing patterns but struggle with novel schemes and produce no human-readable rationale for investigators.</w:t>
      </w:r>
    </w:p>
    <w:p w14:paraId="17DB6E00"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proofErr w:type="spellStart"/>
      <w:r w:rsidRPr="001E0A2B">
        <w:rPr>
          <w:rFonts w:ascii="Calibri" w:eastAsia="Arial" w:hAnsi="Calibri" w:cs="Calibri"/>
          <w:kern w:val="0"/>
          <w:sz w:val="22"/>
          <w:szCs w:val="22"/>
          <w14:ligatures w14:val="none"/>
        </w:rPr>
        <w:t>PayGuard</w:t>
      </w:r>
      <w:proofErr w:type="spellEnd"/>
      <w:r w:rsidRPr="001E0A2B">
        <w:rPr>
          <w:rFonts w:ascii="Calibri" w:eastAsia="Arial" w:hAnsi="Calibri" w:cs="Calibri"/>
          <w:kern w:val="0"/>
          <w:sz w:val="22"/>
          <w:szCs w:val="22"/>
          <w14:ligatures w14:val="none"/>
        </w:rPr>
        <w:t xml:space="preserve"> AI reframes FWA detection as a chain-reasoning task. Rather than a single black-box classifier, claims review is decomposed across three specialized large language model (LLM) agents that each perform one focused inference step: assessing medical necessity, detecting billing anomalies such as upcoding or phantom billing, and synthesizing a structured adjudication, passing intermediate findings forward at each stage. This mirrors how a human Special Investigations Unit (SIU) analyst reviews a case and produces explainable, policy-grounded recommendations rather than opaque risk scores. A second architectural layer converts plain-English CMS National and Local Coverage Determinations (NCDs/LCDs) into structured, executable rule logic, enabling a hybrid design where deterministic rules handle clear violations instantly and at full auditability, while LLM </w:t>
      </w:r>
      <w:proofErr w:type="gramStart"/>
      <w:r w:rsidRPr="001E0A2B">
        <w:rPr>
          <w:rFonts w:ascii="Calibri" w:eastAsia="Arial" w:hAnsi="Calibri" w:cs="Calibri"/>
          <w:kern w:val="0"/>
          <w:sz w:val="22"/>
          <w:szCs w:val="22"/>
          <w14:ligatures w14:val="none"/>
        </w:rPr>
        <w:t>agents</w:t>
      </w:r>
      <w:proofErr w:type="gramEnd"/>
      <w:r w:rsidRPr="001E0A2B">
        <w:rPr>
          <w:rFonts w:ascii="Calibri" w:eastAsia="Arial" w:hAnsi="Calibri" w:cs="Calibri"/>
          <w:kern w:val="0"/>
          <w:sz w:val="22"/>
          <w:szCs w:val="22"/>
          <w14:ligatures w14:val="none"/>
        </w:rPr>
        <w:t xml:space="preserve"> reason through the nuanced cases that rules cannot capture.</w:t>
      </w:r>
    </w:p>
    <w:p w14:paraId="5817B8E9" w14:textId="77777777" w:rsidR="001E0A2B" w:rsidRPr="001E0A2B" w:rsidRDefault="001E0A2B" w:rsidP="001E0A2B">
      <w:pPr>
        <w:spacing w:before="130" w:after="55" w:line="240" w:lineRule="auto"/>
        <w:jc w:val="both"/>
        <w:outlineLvl w:val="0"/>
        <w:rPr>
          <w:rFonts w:ascii="Calibri" w:eastAsia="Arial" w:hAnsi="Calibri" w:cs="Calibri"/>
          <w:b/>
          <w:bCs/>
          <w:color w:val="1A0533"/>
          <w:kern w:val="0"/>
          <w14:ligatures w14:val="none"/>
        </w:rPr>
      </w:pPr>
      <w:r w:rsidRPr="001E0A2B">
        <w:rPr>
          <w:rFonts w:ascii="Calibri" w:eastAsia="Arial" w:hAnsi="Calibri" w:cs="Calibri"/>
          <w:b/>
          <w:bCs/>
          <w:color w:val="1A0533"/>
          <w:kern w:val="0"/>
          <w14:ligatures w14:val="none"/>
        </w:rPr>
        <w:t>2. Why This Approach Is Timely</w:t>
      </w:r>
    </w:p>
    <w:p w14:paraId="211DA45A"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kern w:val="0"/>
          <w:sz w:val="22"/>
          <w:szCs w:val="22"/>
          <w14:ligatures w14:val="none"/>
        </w:rPr>
        <w:t>Three converging trends make agentic FWA detection the right architecture for 2026. First, agent orchestration has matured: multi-agent pipelines with structured JSON-schema outputs now produce reliable, machine-</w:t>
      </w:r>
      <w:proofErr w:type="spellStart"/>
      <w:r w:rsidRPr="001E0A2B">
        <w:rPr>
          <w:rFonts w:ascii="Calibri" w:eastAsia="Arial" w:hAnsi="Calibri" w:cs="Calibri"/>
          <w:kern w:val="0"/>
          <w:sz w:val="22"/>
          <w:szCs w:val="22"/>
          <w14:ligatures w14:val="none"/>
        </w:rPr>
        <w:t>parseable</w:t>
      </w:r>
      <w:proofErr w:type="spellEnd"/>
      <w:r w:rsidRPr="001E0A2B">
        <w:rPr>
          <w:rFonts w:ascii="Calibri" w:eastAsia="Arial" w:hAnsi="Calibri" w:cs="Calibri"/>
          <w:kern w:val="0"/>
          <w:sz w:val="22"/>
          <w:szCs w:val="22"/>
          <w14:ligatures w14:val="none"/>
        </w:rPr>
        <w:t xml:space="preserve"> determinations, removing the fragility of parsing free text. A systematic review of 42 multi-agent clinical decision support studies found that hierarchical multi-agent architectures paired with LLM-enhanced explainability provide the foundation for clinical decision systems that are adaptive, semantically robust, and clinically actionable (</w:t>
      </w:r>
      <w:proofErr w:type="spellStart"/>
      <w:r w:rsidRPr="001E0A2B">
        <w:rPr>
          <w:rFonts w:ascii="Calibri" w:eastAsia="Arial" w:hAnsi="Calibri" w:cs="Calibri"/>
          <w:kern w:val="0"/>
          <w:sz w:val="22"/>
          <w:szCs w:val="22"/>
          <w14:ligatures w14:val="none"/>
        </w:rPr>
        <w:t>Acikgoz</w:t>
      </w:r>
      <w:proofErr w:type="spellEnd"/>
      <w:r w:rsidRPr="001E0A2B">
        <w:rPr>
          <w:rFonts w:ascii="Calibri" w:eastAsia="Arial" w:hAnsi="Calibri" w:cs="Calibri"/>
          <w:kern w:val="0"/>
          <w:sz w:val="22"/>
          <w:szCs w:val="22"/>
          <w14:ligatures w14:val="none"/>
        </w:rPr>
        <w:t xml:space="preserve"> et al., 2025). Second, explainability is becoming a compliance requirement: for payment integrity workflows, every automated flag increasingly needs a documented reason and policy citation to withstand provider disputes and regulatory audits, which favors stepwise reasoning systems over score-only models. Third, retrieval-grounded reasoning, querying live sources such as the CMS Coverage API at inference time, keeps determinations current as policy changes rather than baking stale policy into a fixed model.</w:t>
      </w:r>
    </w:p>
    <w:p w14:paraId="0936E525"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kern w:val="0"/>
          <w:sz w:val="22"/>
          <w:szCs w:val="22"/>
          <w14:ligatures w14:val="none"/>
        </w:rPr>
        <w:t>Payment integrity is also shifting decisively from retrospective pay-and-chase recovery toward prepayment review, where suspect claims are surfaced before disbursement. The U.S. Government Accountability Office has found that Medicare is a high-risk program partly due to its complexity and fraud potential, and reports that data analytics already help CMS identify anomalous billing patterns and prevent fraudulent payments before they are made (GAO, 2024). In a sponsored case study, GDIT reports that its AI FWA solution for CMS identifies more than $1 billion in suspect claims per year and achieved over 90% detection accuracy within two years, crediting generative AI specifically for its ability to incorporate large CMS policy manuals and unstructured clinical documentation that traditional rule engines cannot parse (</w:t>
      </w:r>
      <w:proofErr w:type="spellStart"/>
      <w:r w:rsidRPr="001E0A2B">
        <w:rPr>
          <w:rFonts w:ascii="Calibri" w:eastAsia="Arial" w:hAnsi="Calibri" w:cs="Calibri"/>
          <w:kern w:val="0"/>
          <w:sz w:val="22"/>
          <w:szCs w:val="22"/>
          <w14:ligatures w14:val="none"/>
        </w:rPr>
        <w:t>Nextgov</w:t>
      </w:r>
      <w:proofErr w:type="spellEnd"/>
      <w:r w:rsidRPr="001E0A2B">
        <w:rPr>
          <w:rFonts w:ascii="Calibri" w:eastAsia="Arial" w:hAnsi="Calibri" w:cs="Calibri"/>
          <w:kern w:val="0"/>
          <w:sz w:val="22"/>
          <w:szCs w:val="22"/>
          <w14:ligatures w14:val="none"/>
        </w:rPr>
        <w:t>, 2025).</w:t>
      </w:r>
    </w:p>
    <w:p w14:paraId="1A0164C1" w14:textId="77777777" w:rsidR="001E0A2B" w:rsidRPr="001E0A2B" w:rsidRDefault="001E0A2B" w:rsidP="001E0A2B">
      <w:pPr>
        <w:spacing w:before="130" w:after="55" w:line="240" w:lineRule="auto"/>
        <w:jc w:val="both"/>
        <w:outlineLvl w:val="0"/>
        <w:rPr>
          <w:rFonts w:ascii="Calibri" w:eastAsia="Arial" w:hAnsi="Calibri" w:cs="Calibri"/>
          <w:b/>
          <w:bCs/>
          <w:color w:val="1A0533"/>
          <w:kern w:val="0"/>
          <w14:ligatures w14:val="none"/>
        </w:rPr>
      </w:pPr>
      <w:r w:rsidRPr="001E0A2B">
        <w:rPr>
          <w:rFonts w:ascii="Calibri" w:eastAsia="Arial" w:hAnsi="Calibri" w:cs="Calibri"/>
          <w:b/>
          <w:bCs/>
          <w:color w:val="1A0533"/>
          <w:kern w:val="0"/>
          <w14:ligatures w14:val="none"/>
        </w:rPr>
        <w:t>3. Opportunities and Threats</w:t>
      </w:r>
    </w:p>
    <w:p w14:paraId="42830F50"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b/>
          <w:bCs/>
          <w:kern w:val="0"/>
          <w:sz w:val="22"/>
          <w:szCs w:val="22"/>
          <w14:ligatures w14:val="none"/>
        </w:rPr>
        <w:t xml:space="preserve">Opportunities. </w:t>
      </w:r>
      <w:r w:rsidRPr="001E0A2B">
        <w:rPr>
          <w:rFonts w:ascii="Calibri" w:eastAsia="Arial" w:hAnsi="Calibri" w:cs="Calibri"/>
          <w:kern w:val="0"/>
          <w:sz w:val="22"/>
          <w:szCs w:val="22"/>
          <w14:ligatures w14:val="none"/>
        </w:rPr>
        <w:t xml:space="preserve">Explainable </w:t>
      </w:r>
      <w:proofErr w:type="gramStart"/>
      <w:r w:rsidRPr="001E0A2B">
        <w:rPr>
          <w:rFonts w:ascii="Calibri" w:eastAsia="Arial" w:hAnsi="Calibri" w:cs="Calibri"/>
          <w:kern w:val="0"/>
          <w:sz w:val="22"/>
          <w:szCs w:val="22"/>
          <w14:ligatures w14:val="none"/>
        </w:rPr>
        <w:t>agentic</w:t>
      </w:r>
      <w:proofErr w:type="gramEnd"/>
      <w:r w:rsidRPr="001E0A2B">
        <w:rPr>
          <w:rFonts w:ascii="Calibri" w:eastAsia="Arial" w:hAnsi="Calibri" w:cs="Calibri"/>
          <w:kern w:val="0"/>
          <w:sz w:val="22"/>
          <w:szCs w:val="22"/>
          <w14:ligatures w14:val="none"/>
        </w:rPr>
        <w:t xml:space="preserve"> FWA detection raises the yield of investigator time by triaging claims with documented, policy-grounded rationale, reducing the manual effort of building a case for SIU review. The hybrid deterministic-plus-LLM design captures clear-cut violations instantly and cheaply, reserving model inference for </w:t>
      </w:r>
      <w:r w:rsidRPr="001E0A2B">
        <w:rPr>
          <w:rFonts w:ascii="Calibri" w:eastAsia="Arial" w:hAnsi="Calibri" w:cs="Calibri"/>
          <w:kern w:val="0"/>
          <w:sz w:val="22"/>
          <w:szCs w:val="22"/>
          <w14:ligatures w14:val="none"/>
        </w:rPr>
        <w:lastRenderedPageBreak/>
        <w:t xml:space="preserve">ambiguous cases to control cost. Grounding every determination in a cited CMS NCD or LCD strengthens auditability and appeal defensibility. The same architecture generalizes across treatment, payment, and operations use cases, from prepayment claim review to </w:t>
      </w:r>
      <w:proofErr w:type="gramStart"/>
      <w:r w:rsidRPr="001E0A2B">
        <w:rPr>
          <w:rFonts w:ascii="Calibri" w:eastAsia="Arial" w:hAnsi="Calibri" w:cs="Calibri"/>
          <w:kern w:val="0"/>
          <w:sz w:val="22"/>
          <w:szCs w:val="22"/>
          <w14:ligatures w14:val="none"/>
        </w:rPr>
        <w:t>cross-claim</w:t>
      </w:r>
      <w:proofErr w:type="gramEnd"/>
      <w:r w:rsidRPr="001E0A2B">
        <w:rPr>
          <w:rFonts w:ascii="Calibri" w:eastAsia="Arial" w:hAnsi="Calibri" w:cs="Calibri"/>
          <w:kern w:val="0"/>
          <w:sz w:val="22"/>
          <w:szCs w:val="22"/>
          <w14:ligatures w14:val="none"/>
        </w:rPr>
        <w:t xml:space="preserve"> provider risk profiling over time.</w:t>
      </w:r>
    </w:p>
    <w:p w14:paraId="38EF49AD"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b/>
          <w:bCs/>
          <w:kern w:val="0"/>
          <w:sz w:val="22"/>
          <w:szCs w:val="22"/>
          <w14:ligatures w14:val="none"/>
        </w:rPr>
        <w:t xml:space="preserve">Threats. </w:t>
      </w:r>
      <w:r w:rsidRPr="001E0A2B">
        <w:rPr>
          <w:rFonts w:ascii="Calibri" w:eastAsia="Arial" w:hAnsi="Calibri" w:cs="Calibri"/>
          <w:kern w:val="0"/>
          <w:sz w:val="22"/>
          <w:szCs w:val="22"/>
          <w14:ligatures w14:val="none"/>
        </w:rPr>
        <w:t xml:space="preserve">LLMs can hallucinate clinical or policy claims, so all outputs must be framed as decision-support recommendations requiring mandatory human review, never autonomous denials. Protected Health Information requires HIPAA-compliant infrastructure and Business Associate Agreements with any model provider (HHS, n.d.). Coverage policy changes frequently, so deterministic rules must be refreshed as CMS publishes new NCDs and LCDs. An emerging additional threat is AI-generated fraud: synthetic clinical documentation and </w:t>
      </w:r>
      <w:proofErr w:type="gramStart"/>
      <w:r w:rsidRPr="001E0A2B">
        <w:rPr>
          <w:rFonts w:ascii="Calibri" w:eastAsia="Arial" w:hAnsi="Calibri" w:cs="Calibri"/>
          <w:kern w:val="0"/>
          <w:sz w:val="22"/>
          <w:szCs w:val="22"/>
          <w14:ligatures w14:val="none"/>
        </w:rPr>
        <w:t>deepfake</w:t>
      </w:r>
      <w:proofErr w:type="gramEnd"/>
      <w:r w:rsidRPr="001E0A2B">
        <w:rPr>
          <w:rFonts w:ascii="Calibri" w:eastAsia="Arial" w:hAnsi="Calibri" w:cs="Calibri"/>
          <w:kern w:val="0"/>
          <w:sz w:val="22"/>
          <w:szCs w:val="22"/>
          <w14:ligatures w14:val="none"/>
        </w:rPr>
        <w:t xml:space="preserve"> billing artifacts are an escalating attack vector that payment integrity systems must now authenticate, not merely analyze (</w:t>
      </w:r>
      <w:proofErr w:type="spellStart"/>
      <w:r w:rsidRPr="001E0A2B">
        <w:rPr>
          <w:rFonts w:ascii="Calibri" w:eastAsia="Arial" w:hAnsi="Calibri" w:cs="Calibri"/>
          <w:kern w:val="0"/>
          <w:sz w:val="22"/>
          <w:szCs w:val="22"/>
          <w14:ligatures w14:val="none"/>
        </w:rPr>
        <w:t>Codoxo</w:t>
      </w:r>
      <w:proofErr w:type="spellEnd"/>
      <w:r w:rsidRPr="001E0A2B">
        <w:rPr>
          <w:rFonts w:ascii="Calibri" w:eastAsia="Arial" w:hAnsi="Calibri" w:cs="Calibri"/>
          <w:kern w:val="0"/>
          <w:sz w:val="22"/>
          <w:szCs w:val="22"/>
          <w14:ligatures w14:val="none"/>
        </w:rPr>
        <w:t>, 2026). Finally, model behavior must be monitored for bias across provider types and specialties to avoid systematically over-flagging particular groups.</w:t>
      </w:r>
    </w:p>
    <w:p w14:paraId="4EEA54FA" w14:textId="77777777" w:rsidR="001E0A2B" w:rsidRPr="001E0A2B" w:rsidRDefault="001E0A2B" w:rsidP="001E0A2B">
      <w:pPr>
        <w:spacing w:before="130" w:after="55" w:line="240" w:lineRule="auto"/>
        <w:jc w:val="both"/>
        <w:outlineLvl w:val="0"/>
        <w:rPr>
          <w:rFonts w:ascii="Calibri" w:eastAsia="Arial" w:hAnsi="Calibri" w:cs="Calibri"/>
          <w:b/>
          <w:bCs/>
          <w:color w:val="1A0533"/>
          <w:kern w:val="0"/>
          <w14:ligatures w14:val="none"/>
        </w:rPr>
      </w:pPr>
      <w:r w:rsidRPr="001E0A2B">
        <w:rPr>
          <w:rFonts w:ascii="Calibri" w:eastAsia="Arial" w:hAnsi="Calibri" w:cs="Calibri"/>
          <w:b/>
          <w:bCs/>
          <w:color w:val="1A0533"/>
          <w:kern w:val="0"/>
          <w14:ligatures w14:val="none"/>
        </w:rPr>
        <w:t>4. Strategic Options for Cotiviti</w:t>
      </w:r>
    </w:p>
    <w:p w14:paraId="0ECAE094"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kern w:val="0"/>
          <w:sz w:val="22"/>
          <w:szCs w:val="22"/>
          <w14:ligatures w14:val="none"/>
        </w:rPr>
        <w:t xml:space="preserve">Cotiviti eliminated over $9.5 billion in payment waste in 2024 and was named the highest-designated Leader in the Everest Group Payment Integrity Solutions PEAK Matrix Assessment 2025 (Cotiviti, 2025). </w:t>
      </w:r>
      <w:proofErr w:type="spellStart"/>
      <w:r w:rsidRPr="001E0A2B">
        <w:rPr>
          <w:rFonts w:ascii="Calibri" w:eastAsia="Arial" w:hAnsi="Calibri" w:cs="Calibri"/>
          <w:kern w:val="0"/>
          <w:sz w:val="22"/>
          <w:szCs w:val="22"/>
          <w14:ligatures w14:val="none"/>
        </w:rPr>
        <w:t>PayGuard</w:t>
      </w:r>
      <w:proofErr w:type="spellEnd"/>
      <w:r w:rsidRPr="001E0A2B">
        <w:rPr>
          <w:rFonts w:ascii="Calibri" w:eastAsia="Arial" w:hAnsi="Calibri" w:cs="Calibri"/>
          <w:kern w:val="0"/>
          <w:sz w:val="22"/>
          <w:szCs w:val="22"/>
          <w14:ligatures w14:val="none"/>
        </w:rPr>
        <w:t xml:space="preserve"> AI was built specifically to prototype three capabilities that could extend Cotiviti's existing payment integrity platform into the </w:t>
      </w:r>
      <w:proofErr w:type="gramStart"/>
      <w:r w:rsidRPr="001E0A2B">
        <w:rPr>
          <w:rFonts w:ascii="Calibri" w:eastAsia="Arial" w:hAnsi="Calibri" w:cs="Calibri"/>
          <w:kern w:val="0"/>
          <w:sz w:val="22"/>
          <w:szCs w:val="22"/>
          <w14:ligatures w14:val="none"/>
        </w:rPr>
        <w:t>agentic</w:t>
      </w:r>
      <w:proofErr w:type="gramEnd"/>
      <w:r w:rsidRPr="001E0A2B">
        <w:rPr>
          <w:rFonts w:ascii="Calibri" w:eastAsia="Arial" w:hAnsi="Calibri" w:cs="Calibri"/>
          <w:kern w:val="0"/>
          <w:sz w:val="22"/>
          <w:szCs w:val="22"/>
          <w14:ligatures w14:val="none"/>
        </w:rPr>
        <w:t xml:space="preserve"> AI era.</w:t>
      </w:r>
    </w:p>
    <w:p w14:paraId="18163482"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b/>
          <w:bCs/>
          <w:kern w:val="0"/>
          <w:sz w:val="22"/>
          <w:szCs w:val="22"/>
          <w14:ligatures w14:val="none"/>
        </w:rPr>
        <w:t xml:space="preserve">Option A: Add an explainable agentic reasoning layer to Claim Pattern Review. </w:t>
      </w:r>
      <w:r w:rsidRPr="001E0A2B">
        <w:rPr>
          <w:rFonts w:ascii="Calibri" w:eastAsia="Arial" w:hAnsi="Calibri" w:cs="Calibri"/>
          <w:kern w:val="0"/>
          <w:sz w:val="22"/>
          <w:szCs w:val="22"/>
          <w14:ligatures w14:val="none"/>
        </w:rPr>
        <w:t xml:space="preserve">Cotiviti's existing Claim Pattern Review already surfaces suspect claims for SIU investigation. </w:t>
      </w:r>
      <w:proofErr w:type="spellStart"/>
      <w:r w:rsidRPr="001E0A2B">
        <w:rPr>
          <w:rFonts w:ascii="Calibri" w:eastAsia="Arial" w:hAnsi="Calibri" w:cs="Calibri"/>
          <w:kern w:val="0"/>
          <w:sz w:val="22"/>
          <w:szCs w:val="22"/>
          <w14:ligatures w14:val="none"/>
        </w:rPr>
        <w:t>PayGuard</w:t>
      </w:r>
      <w:proofErr w:type="spellEnd"/>
      <w:r w:rsidRPr="001E0A2B">
        <w:rPr>
          <w:rFonts w:ascii="Calibri" w:eastAsia="Arial" w:hAnsi="Calibri" w:cs="Calibri"/>
          <w:kern w:val="0"/>
          <w:sz w:val="22"/>
          <w:szCs w:val="22"/>
          <w14:ligatures w14:val="none"/>
        </w:rPr>
        <w:t xml:space="preserve"> AI demonstrates how a multi-agent LLM layer could attach to that workflow, generating a plain-English, CMS-cited rationale and structured confidence score for each flagged claim before it reaches an analyst. Rather than replacing Cotiviti's credentialed investigators, this layer would give them a documented starting point grounded in live NCD/LCD policy, reducing case-build time and strengthening appeal defensibility. The </w:t>
      </w:r>
      <w:proofErr w:type="spellStart"/>
      <w:r w:rsidRPr="001E0A2B">
        <w:rPr>
          <w:rFonts w:ascii="Calibri" w:eastAsia="Arial" w:hAnsi="Calibri" w:cs="Calibri"/>
          <w:kern w:val="0"/>
          <w:sz w:val="22"/>
          <w:szCs w:val="22"/>
          <w14:ligatures w14:val="none"/>
        </w:rPr>
        <w:t>PayGuard</w:t>
      </w:r>
      <w:proofErr w:type="spellEnd"/>
      <w:r w:rsidRPr="001E0A2B">
        <w:rPr>
          <w:rFonts w:ascii="Calibri" w:eastAsia="Arial" w:hAnsi="Calibri" w:cs="Calibri"/>
          <w:kern w:val="0"/>
          <w:sz w:val="22"/>
          <w:szCs w:val="22"/>
          <w14:ligatures w14:val="none"/>
        </w:rPr>
        <w:t xml:space="preserve"> AI proof of concept shows this working end-to-end: three GPT-4o-mini agents produce a </w:t>
      </w:r>
      <w:proofErr w:type="spellStart"/>
      <w:r w:rsidRPr="001E0A2B">
        <w:rPr>
          <w:rFonts w:ascii="Calibri" w:eastAsia="Arial" w:hAnsi="Calibri" w:cs="Calibri"/>
          <w:kern w:val="0"/>
          <w:sz w:val="22"/>
          <w:szCs w:val="22"/>
          <w14:ligatures w14:val="none"/>
        </w:rPr>
        <w:t>Pydantic</w:t>
      </w:r>
      <w:proofErr w:type="spellEnd"/>
      <w:r w:rsidRPr="001E0A2B">
        <w:rPr>
          <w:rFonts w:ascii="Calibri" w:eastAsia="Arial" w:hAnsi="Calibri" w:cs="Calibri"/>
          <w:kern w:val="0"/>
          <w:sz w:val="22"/>
          <w:szCs w:val="22"/>
          <w14:ligatures w14:val="none"/>
        </w:rPr>
        <w:t>-validated determination grounded via live CMS Coverage API queries, with a full PDF audit report exportable per claim.</w:t>
      </w:r>
    </w:p>
    <w:p w14:paraId="26E90F2F"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b/>
          <w:bCs/>
          <w:kern w:val="0"/>
          <w:sz w:val="22"/>
          <w:szCs w:val="22"/>
          <w14:ligatures w14:val="none"/>
        </w:rPr>
        <w:t xml:space="preserve">Option B: Build a policy-to-rule engine to accelerate edit library maintenance. </w:t>
      </w:r>
      <w:r w:rsidRPr="001E0A2B">
        <w:rPr>
          <w:rFonts w:ascii="Calibri" w:eastAsia="Arial" w:hAnsi="Calibri" w:cs="Calibri"/>
          <w:kern w:val="0"/>
          <w:sz w:val="22"/>
          <w:szCs w:val="22"/>
          <w14:ligatures w14:val="none"/>
        </w:rPr>
        <w:t xml:space="preserve">CMS updates NCDs and LCDs continuously. Translating new policy prose into enforceable prepayment edits today requires manual clinical and coding expertise and takes weeks. </w:t>
      </w:r>
      <w:proofErr w:type="spellStart"/>
      <w:r w:rsidRPr="001E0A2B">
        <w:rPr>
          <w:rFonts w:ascii="Calibri" w:eastAsia="Arial" w:hAnsi="Calibri" w:cs="Calibri"/>
          <w:kern w:val="0"/>
          <w:sz w:val="22"/>
          <w:szCs w:val="22"/>
          <w14:ligatures w14:val="none"/>
        </w:rPr>
        <w:t>PayGuard</w:t>
      </w:r>
      <w:proofErr w:type="spellEnd"/>
      <w:r w:rsidRPr="001E0A2B">
        <w:rPr>
          <w:rFonts w:ascii="Calibri" w:eastAsia="Arial" w:hAnsi="Calibri" w:cs="Calibri"/>
          <w:kern w:val="0"/>
          <w:sz w:val="22"/>
          <w:szCs w:val="22"/>
          <w14:ligatures w14:val="none"/>
        </w:rPr>
        <w:t xml:space="preserve"> AI prototypes an LLM-assisted converter that takes plain-English CMS policy text as input and produces structured, executable JSON rule logic as output, feeding directly into a deterministic rules engine. Cotiviti could operationalize this capability to compress the lag between a policy publication and a live edit, giving health plan clients faster coverage of emerging billing schemes without expanding analyst headcount.</w:t>
      </w:r>
    </w:p>
    <w:p w14:paraId="55F83B24" w14:textId="77777777" w:rsidR="001E0A2B" w:rsidRPr="001E0A2B" w:rsidRDefault="001E0A2B" w:rsidP="001E0A2B">
      <w:pPr>
        <w:spacing w:after="90" w:line="240" w:lineRule="auto"/>
        <w:jc w:val="both"/>
        <w:rPr>
          <w:rFonts w:ascii="Calibri" w:eastAsia="Arial" w:hAnsi="Calibri" w:cs="Calibri"/>
          <w:kern w:val="0"/>
          <w:sz w:val="22"/>
          <w:szCs w:val="22"/>
          <w14:ligatures w14:val="none"/>
        </w:rPr>
      </w:pPr>
      <w:r w:rsidRPr="001E0A2B">
        <w:rPr>
          <w:rFonts w:ascii="Calibri" w:eastAsia="Arial" w:hAnsi="Calibri" w:cs="Calibri"/>
          <w:b/>
          <w:bCs/>
          <w:kern w:val="0"/>
          <w:sz w:val="22"/>
          <w:szCs w:val="22"/>
          <w14:ligatures w14:val="none"/>
        </w:rPr>
        <w:t xml:space="preserve">Option C: Establish a formal AI Governance Program as a client-facing differentiator. </w:t>
      </w:r>
      <w:r w:rsidRPr="001E0A2B">
        <w:rPr>
          <w:rFonts w:ascii="Calibri" w:eastAsia="Arial" w:hAnsi="Calibri" w:cs="Calibri"/>
          <w:kern w:val="0"/>
          <w:sz w:val="22"/>
          <w:szCs w:val="22"/>
          <w14:ligatures w14:val="none"/>
        </w:rPr>
        <w:t xml:space="preserve">Health plans buying payment integrity AI increasingly face internal compliance, audit, and board-level questions about model risk. Cotiviti could formalize and publish a governance framework covering human-in-the-loop review requirements, PHI safeguards, bias monitoring across provider specialties, model drift alerting with deterministic fallbacks, and continuous accuracy benchmarking against labeled ground-truth claims. </w:t>
      </w:r>
      <w:proofErr w:type="spellStart"/>
      <w:r w:rsidRPr="001E0A2B">
        <w:rPr>
          <w:rFonts w:ascii="Calibri" w:eastAsia="Arial" w:hAnsi="Calibri" w:cs="Calibri"/>
          <w:kern w:val="0"/>
          <w:sz w:val="22"/>
          <w:szCs w:val="22"/>
          <w14:ligatures w14:val="none"/>
        </w:rPr>
        <w:t>PayGuard</w:t>
      </w:r>
      <w:proofErr w:type="spellEnd"/>
      <w:r w:rsidRPr="001E0A2B">
        <w:rPr>
          <w:rFonts w:ascii="Calibri" w:eastAsia="Arial" w:hAnsi="Calibri" w:cs="Calibri"/>
          <w:kern w:val="0"/>
          <w:sz w:val="22"/>
          <w:szCs w:val="22"/>
          <w14:ligatures w14:val="none"/>
        </w:rPr>
        <w:t xml:space="preserve"> AI includes a governance document and an evaluation harness scoring the system against ground-truth labels as a working template for what this looks like in practice. Offering this as a transparent, auditable governance layer would differentiate Cotiviti from competitors whose AI outputs remain black boxes.</w:t>
      </w:r>
    </w:p>
    <w:p w14:paraId="2F01AF58" w14:textId="77777777" w:rsidR="001E0A2B" w:rsidRPr="001E0A2B" w:rsidRDefault="001E0A2B" w:rsidP="001E0A2B">
      <w:pPr>
        <w:spacing w:after="0" w:line="240" w:lineRule="auto"/>
        <w:jc w:val="both"/>
        <w:rPr>
          <w:rFonts w:ascii="Calibri" w:eastAsia="Arial" w:hAnsi="Calibri" w:cs="Calibri"/>
          <w:kern w:val="0"/>
          <w:sz w:val="22"/>
          <w:szCs w:val="22"/>
          <w14:ligatures w14:val="none"/>
        </w:rPr>
      </w:pPr>
      <w:r w:rsidRPr="001E0A2B">
        <w:rPr>
          <w:rFonts w:ascii="Calibri" w:eastAsia="Arial" w:hAnsi="Calibri" w:cs="Calibri"/>
          <w:b/>
          <w:bCs/>
          <w:kern w:val="0"/>
          <w:sz w:val="22"/>
          <w:szCs w:val="22"/>
          <w14:ligatures w14:val="none"/>
        </w:rPr>
        <w:t xml:space="preserve">Recommendation. </w:t>
      </w:r>
      <w:r w:rsidRPr="001E0A2B">
        <w:rPr>
          <w:rFonts w:ascii="Calibri" w:eastAsia="Arial" w:hAnsi="Calibri" w:cs="Calibri"/>
          <w:kern w:val="0"/>
          <w:sz w:val="22"/>
          <w:szCs w:val="22"/>
          <w14:ligatures w14:val="none"/>
        </w:rPr>
        <w:t>Begin with Option A as a decision-support pilot on de-identified data, paired with the Option C governance framework from day one. Expand into Option B once the rule library demonstrates operational value. This sequence lets Cotiviti move quickly on the highest-visibility capability while ensuring every AI-assisted flag remains defensible, auditable, and subject to human investigator review.</w:t>
      </w:r>
    </w:p>
    <w:p w14:paraId="6EB07F95" w14:textId="77777777" w:rsidR="001E0A2B" w:rsidRPr="001E0A2B" w:rsidRDefault="001E0A2B" w:rsidP="001E0A2B">
      <w:pPr>
        <w:spacing w:after="0" w:line="240" w:lineRule="auto"/>
        <w:jc w:val="both"/>
        <w:rPr>
          <w:rFonts w:ascii="Calibri" w:eastAsia="Arial" w:hAnsi="Calibri" w:cs="Calibri"/>
          <w:kern w:val="0"/>
          <w:sz w:val="22"/>
          <w:szCs w:val="22"/>
          <w14:ligatures w14:val="none"/>
        </w:rPr>
      </w:pPr>
      <w:r w:rsidRPr="001E0A2B">
        <w:rPr>
          <w:rFonts w:ascii="Calibri" w:eastAsia="Arial" w:hAnsi="Calibri" w:cs="Calibri"/>
          <w:kern w:val="0"/>
          <w:sz w:val="22"/>
          <w:szCs w:val="22"/>
          <w14:ligatures w14:val="none"/>
        </w:rPr>
        <w:br w:type="page"/>
      </w:r>
    </w:p>
    <w:p w14:paraId="041B7550" w14:textId="77777777" w:rsidR="001E0A2B" w:rsidRPr="001E0A2B" w:rsidRDefault="001E0A2B" w:rsidP="001E0A2B">
      <w:pPr>
        <w:spacing w:after="200" w:line="240" w:lineRule="auto"/>
        <w:jc w:val="both"/>
        <w:rPr>
          <w:rFonts w:ascii="Calibri" w:eastAsia="Arial" w:hAnsi="Calibri" w:cs="Calibri"/>
          <w:kern w:val="0"/>
          <w:sz w:val="22"/>
          <w:szCs w:val="22"/>
          <w14:ligatures w14:val="none"/>
        </w:rPr>
      </w:pPr>
      <w:r w:rsidRPr="001E0A2B">
        <w:rPr>
          <w:rFonts w:ascii="Calibri" w:eastAsia="Arial" w:hAnsi="Calibri" w:cs="Calibri"/>
          <w:b/>
          <w:bCs/>
          <w:color w:val="1A0533"/>
          <w:kern w:val="0"/>
          <w:sz w:val="28"/>
          <w:szCs w:val="28"/>
          <w14:ligatures w14:val="none"/>
        </w:rPr>
        <w:lastRenderedPageBreak/>
        <w:t>Bibliography</w:t>
      </w:r>
    </w:p>
    <w:p w14:paraId="2C702D0B" w14:textId="77777777" w:rsidR="001E0A2B" w:rsidRPr="001E0A2B" w:rsidRDefault="001E0A2B" w:rsidP="001E0A2B">
      <w:pPr>
        <w:spacing w:before="110" w:after="0" w:line="240" w:lineRule="auto"/>
        <w:ind w:left="480" w:hanging="480"/>
        <w:jc w:val="both"/>
        <w:rPr>
          <w:rFonts w:ascii="Calibri" w:eastAsia="Arial" w:hAnsi="Calibri" w:cs="Calibri"/>
          <w:kern w:val="0"/>
          <w:sz w:val="20"/>
          <w:szCs w:val="20"/>
          <w14:ligatures w14:val="none"/>
        </w:rPr>
      </w:pPr>
      <w:proofErr w:type="spellStart"/>
      <w:r w:rsidRPr="001E0A2B">
        <w:rPr>
          <w:rFonts w:ascii="Calibri" w:eastAsia="Arial" w:hAnsi="Calibri" w:cs="Calibri"/>
          <w:kern w:val="0"/>
          <w:sz w:val="20"/>
          <w:szCs w:val="20"/>
          <w14:ligatures w14:val="none"/>
        </w:rPr>
        <w:t>Acikgoz</w:t>
      </w:r>
      <w:proofErr w:type="spellEnd"/>
      <w:r w:rsidRPr="001E0A2B">
        <w:rPr>
          <w:rFonts w:ascii="Calibri" w:eastAsia="Arial" w:hAnsi="Calibri" w:cs="Calibri"/>
          <w:kern w:val="0"/>
          <w:sz w:val="20"/>
          <w:szCs w:val="20"/>
          <w14:ligatures w14:val="none"/>
        </w:rPr>
        <w:t xml:space="preserve">, F., et al. (2025). Multi-agent systems for clinical decision support: A systematic review. </w:t>
      </w:r>
      <w:r w:rsidRPr="001E0A2B">
        <w:rPr>
          <w:rFonts w:ascii="Calibri" w:eastAsia="Arial" w:hAnsi="Calibri" w:cs="Calibri"/>
          <w:i/>
          <w:iCs/>
          <w:kern w:val="0"/>
          <w:sz w:val="20"/>
          <w:szCs w:val="20"/>
          <w14:ligatures w14:val="none"/>
        </w:rPr>
        <w:t>Biomedical Signal Processing and Control</w:t>
      </w:r>
      <w:r w:rsidRPr="001E0A2B">
        <w:rPr>
          <w:rFonts w:ascii="Calibri" w:eastAsia="Arial" w:hAnsi="Calibri" w:cs="Calibri"/>
          <w:kern w:val="0"/>
          <w:sz w:val="20"/>
          <w:szCs w:val="20"/>
          <w14:ligatures w14:val="none"/>
        </w:rPr>
        <w:t xml:space="preserve">. </w:t>
      </w:r>
      <w:hyperlink r:id="rId4" w:history="1">
        <w:r w:rsidRPr="001E0A2B">
          <w:rPr>
            <w:rFonts w:ascii="Calibri" w:eastAsia="Arial" w:hAnsi="Calibri" w:cs="Calibri"/>
            <w:i/>
            <w:iCs/>
            <w:color w:val="0563C1"/>
            <w:kern w:val="0"/>
            <w:sz w:val="20"/>
            <w:szCs w:val="20"/>
            <w:u w:val="single"/>
            <w14:ligatures w14:val="none"/>
          </w:rPr>
          <w:t>https://www.sciencedirect.com/science/article/abs/pii/S1568494625017600</w:t>
        </w:r>
      </w:hyperlink>
    </w:p>
    <w:p w14:paraId="667CD490"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r w:rsidRPr="001E0A2B">
        <w:rPr>
          <w:rFonts w:ascii="Calibri" w:eastAsia="Arial" w:hAnsi="Calibri" w:cs="Calibri"/>
          <w:kern w:val="0"/>
          <w:sz w:val="20"/>
          <w:szCs w:val="20"/>
          <w14:ligatures w14:val="none"/>
        </w:rPr>
        <w:t xml:space="preserve">Centers for Medicare and Medicaid Services. (n.d.-a). Medicare Coverage Database (national and local coverage determinations). U.S. Department of Health and Human Services. </w:t>
      </w:r>
      <w:hyperlink r:id="rId5" w:history="1">
        <w:r w:rsidRPr="001E0A2B">
          <w:rPr>
            <w:rFonts w:ascii="Calibri" w:eastAsia="Arial" w:hAnsi="Calibri" w:cs="Calibri"/>
            <w:i/>
            <w:iCs/>
            <w:color w:val="0563C1"/>
            <w:kern w:val="0"/>
            <w:sz w:val="20"/>
            <w:szCs w:val="20"/>
            <w:u w:val="single"/>
            <w14:ligatures w14:val="none"/>
          </w:rPr>
          <w:t>https://www.cms.gov/medicare-coverage-database</w:t>
        </w:r>
      </w:hyperlink>
    </w:p>
    <w:p w14:paraId="5DF382C9" w14:textId="77777777" w:rsidR="001E0A2B" w:rsidRPr="001E0A2B" w:rsidRDefault="001E0A2B" w:rsidP="001E0A2B">
      <w:pPr>
        <w:spacing w:before="110" w:after="0" w:line="240" w:lineRule="auto"/>
        <w:ind w:left="480" w:hanging="480"/>
        <w:jc w:val="both"/>
        <w:rPr>
          <w:rFonts w:ascii="Calibri" w:eastAsia="Arial" w:hAnsi="Calibri" w:cs="Calibri"/>
          <w:kern w:val="0"/>
          <w:sz w:val="20"/>
          <w:szCs w:val="20"/>
          <w14:ligatures w14:val="none"/>
        </w:rPr>
      </w:pPr>
      <w:r w:rsidRPr="001E0A2B">
        <w:rPr>
          <w:rFonts w:ascii="Calibri" w:eastAsia="Arial" w:hAnsi="Calibri" w:cs="Calibri"/>
          <w:kern w:val="0"/>
          <w:sz w:val="20"/>
          <w:szCs w:val="20"/>
          <w14:ligatures w14:val="none"/>
        </w:rPr>
        <w:t>Centers for Medicare and Medicaid Services. (n.d.-b). CMS Coverage API.</w:t>
      </w:r>
      <w:r w:rsidRPr="001E0A2B">
        <w:rPr>
          <w:rFonts w:ascii="Calibri" w:eastAsia="Arial" w:hAnsi="Calibri" w:cs="Calibri"/>
          <w:i/>
          <w:iCs/>
          <w:kern w:val="0"/>
          <w:sz w:val="20"/>
          <w:szCs w:val="20"/>
          <w14:ligatures w14:val="none"/>
        </w:rPr>
        <w:t xml:space="preserve"> </w:t>
      </w:r>
      <w:hyperlink r:id="rId6" w:history="1">
        <w:r w:rsidRPr="001E0A2B">
          <w:rPr>
            <w:rFonts w:ascii="Calibri" w:eastAsia="Arial" w:hAnsi="Calibri" w:cs="Calibri"/>
            <w:i/>
            <w:iCs/>
            <w:color w:val="0563C1"/>
            <w:kern w:val="0"/>
            <w:sz w:val="20"/>
            <w:szCs w:val="20"/>
            <w:u w:val="single"/>
            <w14:ligatures w14:val="none"/>
          </w:rPr>
          <w:t>https://api.coverage.cms.gov</w:t>
        </w:r>
      </w:hyperlink>
    </w:p>
    <w:p w14:paraId="61ED3721"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r w:rsidRPr="001E0A2B">
        <w:rPr>
          <w:rFonts w:ascii="Calibri" w:eastAsia="Arial" w:hAnsi="Calibri" w:cs="Calibri"/>
          <w:kern w:val="0"/>
          <w:sz w:val="20"/>
          <w:szCs w:val="20"/>
          <w14:ligatures w14:val="none"/>
        </w:rPr>
        <w:t xml:space="preserve">Centers for Medicare and Medicaid Services. (2026). Evaluation and management services. </w:t>
      </w:r>
      <w:hyperlink r:id="rId7" w:history="1">
        <w:r w:rsidRPr="001E0A2B">
          <w:rPr>
            <w:rFonts w:ascii="Calibri" w:eastAsia="Arial" w:hAnsi="Calibri" w:cs="Calibri"/>
            <w:i/>
            <w:iCs/>
            <w:color w:val="0563C1"/>
            <w:kern w:val="0"/>
            <w:sz w:val="20"/>
            <w:szCs w:val="20"/>
            <w:u w:val="single"/>
            <w14:ligatures w14:val="none"/>
          </w:rPr>
          <w:t>https://www.cms.gov/training-education/medicare-learning-networkr-mln/compliance/medicare-provider-compliance-tips/evaluation-management-services</w:t>
        </w:r>
      </w:hyperlink>
    </w:p>
    <w:p w14:paraId="6468CC38"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proofErr w:type="spellStart"/>
      <w:r w:rsidRPr="001E0A2B">
        <w:rPr>
          <w:rFonts w:ascii="Calibri" w:eastAsia="Arial" w:hAnsi="Calibri" w:cs="Calibri"/>
          <w:kern w:val="0"/>
          <w:sz w:val="20"/>
          <w:szCs w:val="20"/>
          <w14:ligatures w14:val="none"/>
        </w:rPr>
        <w:t>Codoxo</w:t>
      </w:r>
      <w:proofErr w:type="spellEnd"/>
      <w:r w:rsidRPr="001E0A2B">
        <w:rPr>
          <w:rFonts w:ascii="Calibri" w:eastAsia="Arial" w:hAnsi="Calibri" w:cs="Calibri"/>
          <w:kern w:val="0"/>
          <w:sz w:val="20"/>
          <w:szCs w:val="20"/>
          <w14:ligatures w14:val="none"/>
        </w:rPr>
        <w:t xml:space="preserve">. (2026, March 4). Payment integrity is at an inflection point: What 2025 revealed and what 2026 demands. </w:t>
      </w:r>
      <w:hyperlink r:id="rId8" w:history="1">
        <w:r w:rsidRPr="001E0A2B">
          <w:rPr>
            <w:rFonts w:ascii="Calibri" w:eastAsia="Arial" w:hAnsi="Calibri" w:cs="Calibri"/>
            <w:i/>
            <w:iCs/>
            <w:color w:val="0563C1"/>
            <w:kern w:val="0"/>
            <w:sz w:val="20"/>
            <w:szCs w:val="20"/>
            <w:u w:val="single"/>
            <w14:ligatures w14:val="none"/>
          </w:rPr>
          <w:t>https://www.codoxo.com/payment-integrity-is-at-an-inflection-point-what-2025-revealed-and-what-2026-demands/</w:t>
        </w:r>
      </w:hyperlink>
    </w:p>
    <w:p w14:paraId="236F7B61"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r w:rsidRPr="001E0A2B">
        <w:rPr>
          <w:rFonts w:ascii="Calibri" w:eastAsia="Arial" w:hAnsi="Calibri" w:cs="Calibri"/>
          <w:kern w:val="0"/>
          <w:sz w:val="20"/>
          <w:szCs w:val="20"/>
          <w14:ligatures w14:val="none"/>
        </w:rPr>
        <w:t xml:space="preserve">Cotiviti. (2025, May 12). Cotiviti </w:t>
      </w:r>
      <w:proofErr w:type="gramStart"/>
      <w:r w:rsidRPr="001E0A2B">
        <w:rPr>
          <w:rFonts w:ascii="Calibri" w:eastAsia="Arial" w:hAnsi="Calibri" w:cs="Calibri"/>
          <w:kern w:val="0"/>
          <w:sz w:val="20"/>
          <w:szCs w:val="20"/>
          <w14:ligatures w14:val="none"/>
        </w:rPr>
        <w:t>named</w:t>
      </w:r>
      <w:proofErr w:type="gramEnd"/>
      <w:r w:rsidRPr="001E0A2B">
        <w:rPr>
          <w:rFonts w:ascii="Calibri" w:eastAsia="Arial" w:hAnsi="Calibri" w:cs="Calibri"/>
          <w:kern w:val="0"/>
          <w:sz w:val="20"/>
          <w:szCs w:val="20"/>
          <w14:ligatures w14:val="none"/>
        </w:rPr>
        <w:t xml:space="preserve"> highest-designated Leader by Everest Group in the Payment Integrity Solutions PEAK Matrix Assessment 2025. Business Wire. </w:t>
      </w:r>
      <w:hyperlink r:id="rId9" w:history="1">
        <w:r w:rsidRPr="001E0A2B">
          <w:rPr>
            <w:rFonts w:ascii="Calibri" w:eastAsia="Arial" w:hAnsi="Calibri" w:cs="Calibri"/>
            <w:i/>
            <w:iCs/>
            <w:color w:val="0563C1"/>
            <w:kern w:val="0"/>
            <w:sz w:val="20"/>
            <w:szCs w:val="20"/>
            <w:u w:val="single"/>
            <w14:ligatures w14:val="none"/>
          </w:rPr>
          <w:t>https://www.businesswire.com/news/home/20250510793240/en/</w:t>
        </w:r>
      </w:hyperlink>
    </w:p>
    <w:p w14:paraId="06DCF575"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r w:rsidRPr="001E0A2B">
        <w:rPr>
          <w:rFonts w:ascii="Calibri" w:eastAsia="Arial" w:hAnsi="Calibri" w:cs="Calibri"/>
          <w:kern w:val="0"/>
          <w:sz w:val="20"/>
          <w:szCs w:val="20"/>
          <w14:ligatures w14:val="none"/>
        </w:rPr>
        <w:t xml:space="preserve">National Health Care Anti-Fraud Association. (n.d.). The challenge of health care fraud. </w:t>
      </w:r>
      <w:hyperlink r:id="rId10" w:history="1">
        <w:r w:rsidRPr="001E0A2B">
          <w:rPr>
            <w:rFonts w:ascii="Calibri" w:eastAsia="Arial" w:hAnsi="Calibri" w:cs="Calibri"/>
            <w:i/>
            <w:iCs/>
            <w:color w:val="0563C1"/>
            <w:kern w:val="0"/>
            <w:sz w:val="20"/>
            <w:szCs w:val="20"/>
            <w:u w:val="single"/>
            <w14:ligatures w14:val="none"/>
          </w:rPr>
          <w:t>https://www.nhcaa.org/tools-insights/about-health-care-fraud/the-challenge-of-health-care-fraud/</w:t>
        </w:r>
      </w:hyperlink>
    </w:p>
    <w:p w14:paraId="65C14C57"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r w:rsidRPr="001E0A2B">
        <w:rPr>
          <w:rFonts w:ascii="Calibri" w:eastAsia="Arial" w:hAnsi="Calibri" w:cs="Calibri"/>
          <w:kern w:val="0"/>
          <w:sz w:val="20"/>
          <w:szCs w:val="20"/>
          <w14:ligatures w14:val="none"/>
        </w:rPr>
        <w:t xml:space="preserve">How AI fights fraud to enhance healthcare delivery. </w:t>
      </w:r>
      <w:hyperlink r:id="rId11" w:history="1">
        <w:r w:rsidRPr="001E0A2B">
          <w:rPr>
            <w:rFonts w:ascii="Calibri" w:eastAsia="Arial" w:hAnsi="Calibri" w:cs="Calibri"/>
            <w:i/>
            <w:iCs/>
            <w:color w:val="0563C1"/>
            <w:kern w:val="0"/>
            <w:sz w:val="20"/>
            <w:szCs w:val="20"/>
            <w:u w:val="single"/>
            <w14:ligatures w14:val="none"/>
          </w:rPr>
          <w:t>https://www.nextgov.com/sponsors/2025/10/how-ai-fights-fraud-enhance-healthcare-delivery/408994/</w:t>
        </w:r>
      </w:hyperlink>
    </w:p>
    <w:p w14:paraId="439A8058" w14:textId="77777777" w:rsidR="001E0A2B" w:rsidRPr="001E0A2B" w:rsidRDefault="001E0A2B" w:rsidP="001E0A2B">
      <w:pPr>
        <w:spacing w:before="110" w:after="0" w:line="240" w:lineRule="auto"/>
        <w:ind w:left="480" w:hanging="480"/>
        <w:jc w:val="both"/>
        <w:rPr>
          <w:rFonts w:ascii="Calibri" w:eastAsia="Arial" w:hAnsi="Calibri" w:cs="Calibri"/>
          <w:kern w:val="0"/>
          <w:sz w:val="20"/>
          <w:szCs w:val="20"/>
          <w14:ligatures w14:val="none"/>
        </w:rPr>
      </w:pPr>
      <w:r w:rsidRPr="001E0A2B">
        <w:rPr>
          <w:rFonts w:ascii="Calibri" w:eastAsia="Arial" w:hAnsi="Calibri" w:cs="Calibri"/>
          <w:kern w:val="0"/>
          <w:sz w:val="20"/>
          <w:szCs w:val="20"/>
          <w14:ligatures w14:val="none"/>
        </w:rPr>
        <w:t xml:space="preserve">OpenAI. (2024). Structured outputs and JSON mode: API documentation. </w:t>
      </w:r>
      <w:hyperlink r:id="rId12" w:history="1">
        <w:r w:rsidRPr="001E0A2B">
          <w:rPr>
            <w:rFonts w:ascii="Calibri" w:eastAsia="Arial" w:hAnsi="Calibri" w:cs="Calibri"/>
            <w:i/>
            <w:iCs/>
            <w:color w:val="0563C1"/>
            <w:kern w:val="0"/>
            <w:sz w:val="20"/>
            <w:szCs w:val="20"/>
            <w:u w:val="single"/>
            <w14:ligatures w14:val="none"/>
          </w:rPr>
          <w:t>https://platform.openai.com/docs/guides/structured-outputs</w:t>
        </w:r>
      </w:hyperlink>
    </w:p>
    <w:p w14:paraId="193A8889" w14:textId="77777777" w:rsidR="001E0A2B" w:rsidRPr="001E0A2B" w:rsidRDefault="001E0A2B" w:rsidP="001E0A2B">
      <w:pPr>
        <w:spacing w:before="110" w:after="0" w:line="240" w:lineRule="auto"/>
        <w:ind w:left="480" w:hanging="480"/>
        <w:jc w:val="both"/>
        <w:rPr>
          <w:rFonts w:ascii="Calibri" w:eastAsia="Arial" w:hAnsi="Calibri" w:cs="Calibri"/>
          <w:kern w:val="0"/>
          <w:sz w:val="20"/>
          <w:szCs w:val="20"/>
          <w14:ligatures w14:val="none"/>
        </w:rPr>
      </w:pPr>
      <w:r w:rsidRPr="001E0A2B">
        <w:rPr>
          <w:rFonts w:ascii="Calibri" w:eastAsia="Arial" w:hAnsi="Calibri" w:cs="Calibri"/>
          <w:kern w:val="0"/>
          <w:sz w:val="20"/>
          <w:szCs w:val="20"/>
          <w14:ligatures w14:val="none"/>
        </w:rPr>
        <w:t xml:space="preserve">U.S. Department of Health and Human Services, Office for Civil Rights. (n.d.). HIPAA and health information privacy. </w:t>
      </w:r>
      <w:hyperlink r:id="rId13" w:history="1">
        <w:r w:rsidRPr="001E0A2B">
          <w:rPr>
            <w:rFonts w:ascii="Calibri" w:eastAsia="Arial" w:hAnsi="Calibri" w:cs="Calibri"/>
            <w:i/>
            <w:iCs/>
            <w:color w:val="0563C1"/>
            <w:kern w:val="0"/>
            <w:sz w:val="20"/>
            <w:szCs w:val="20"/>
            <w:u w:val="single"/>
            <w14:ligatures w14:val="none"/>
          </w:rPr>
          <w:t>https://www.hhs.gov/hipaa</w:t>
        </w:r>
      </w:hyperlink>
    </w:p>
    <w:p w14:paraId="7594BE11" w14:textId="77777777" w:rsidR="001E0A2B" w:rsidRPr="001E0A2B" w:rsidRDefault="001E0A2B" w:rsidP="001E0A2B">
      <w:pPr>
        <w:spacing w:before="110" w:after="0" w:line="240" w:lineRule="auto"/>
        <w:ind w:left="480" w:hanging="480"/>
        <w:jc w:val="both"/>
        <w:rPr>
          <w:rFonts w:ascii="Calibri" w:eastAsia="Arial" w:hAnsi="Calibri" w:cs="Calibri"/>
          <w:kern w:val="0"/>
          <w:sz w:val="20"/>
          <w:szCs w:val="20"/>
          <w14:ligatures w14:val="none"/>
        </w:rPr>
      </w:pPr>
      <w:r w:rsidRPr="001E0A2B">
        <w:rPr>
          <w:rFonts w:ascii="Calibri" w:eastAsia="Arial" w:hAnsi="Calibri" w:cs="Calibri"/>
          <w:kern w:val="0"/>
          <w:sz w:val="20"/>
          <w:szCs w:val="20"/>
          <w14:ligatures w14:val="none"/>
        </w:rPr>
        <w:t xml:space="preserve">U.S. Department of Health and Human Services, Office of Inspector General. (2026). Work Plan. </w:t>
      </w:r>
      <w:hyperlink r:id="rId14" w:history="1">
        <w:r w:rsidRPr="001E0A2B">
          <w:rPr>
            <w:rFonts w:ascii="Calibri" w:eastAsia="Arial" w:hAnsi="Calibri" w:cs="Calibri"/>
            <w:i/>
            <w:iCs/>
            <w:color w:val="0563C1"/>
            <w:kern w:val="0"/>
            <w:sz w:val="20"/>
            <w:szCs w:val="20"/>
            <w:u w:val="single"/>
            <w14:ligatures w14:val="none"/>
          </w:rPr>
          <w:t>https://oig.hhs.gov/reports/work-plan/</w:t>
        </w:r>
      </w:hyperlink>
    </w:p>
    <w:p w14:paraId="664C8B42" w14:textId="77777777" w:rsidR="001E0A2B" w:rsidRPr="001E0A2B" w:rsidRDefault="001E0A2B" w:rsidP="001E0A2B">
      <w:pPr>
        <w:spacing w:before="110" w:after="0" w:line="240" w:lineRule="auto"/>
        <w:ind w:left="480" w:hanging="480"/>
        <w:jc w:val="both"/>
        <w:rPr>
          <w:rFonts w:ascii="Calibri" w:eastAsia="Arial" w:hAnsi="Calibri" w:cs="Calibri"/>
          <w:i/>
          <w:iCs/>
          <w:kern w:val="0"/>
          <w:sz w:val="20"/>
          <w:szCs w:val="20"/>
          <w14:ligatures w14:val="none"/>
        </w:rPr>
      </w:pPr>
      <w:r w:rsidRPr="001E0A2B">
        <w:rPr>
          <w:rFonts w:ascii="Calibri" w:eastAsia="Arial" w:hAnsi="Calibri" w:cs="Calibri"/>
          <w:kern w:val="0"/>
          <w:sz w:val="20"/>
          <w:szCs w:val="20"/>
          <w14:ligatures w14:val="none"/>
        </w:rPr>
        <w:t xml:space="preserve">U.S. Government Accountability Office. (2024). Medicare and Medicaid: Additional actions needed to enhance program integrity and save billions (Report No. GAO-24-107487). </w:t>
      </w:r>
      <w:hyperlink r:id="rId15" w:history="1">
        <w:r w:rsidRPr="001E0A2B">
          <w:rPr>
            <w:rFonts w:ascii="Calibri" w:eastAsia="Arial" w:hAnsi="Calibri" w:cs="Calibri"/>
            <w:i/>
            <w:iCs/>
            <w:color w:val="0563C1"/>
            <w:kern w:val="0"/>
            <w:sz w:val="20"/>
            <w:szCs w:val="20"/>
            <w:u w:val="single"/>
            <w14:ligatures w14:val="none"/>
          </w:rPr>
          <w:t>https://www.gao.gov/products/gao-24-107487</w:t>
        </w:r>
      </w:hyperlink>
    </w:p>
    <w:p w14:paraId="21875133" w14:textId="77777777" w:rsidR="001E0A2B" w:rsidRPr="001E0A2B" w:rsidRDefault="001E0A2B" w:rsidP="001E0A2B">
      <w:pPr>
        <w:spacing w:before="110" w:after="0" w:line="240" w:lineRule="auto"/>
        <w:ind w:left="480" w:hanging="480"/>
        <w:jc w:val="both"/>
        <w:rPr>
          <w:rFonts w:ascii="Calibri" w:eastAsia="Arial" w:hAnsi="Calibri" w:cs="Calibri"/>
          <w:kern w:val="0"/>
          <w:sz w:val="20"/>
          <w:szCs w:val="20"/>
          <w14:ligatures w14:val="none"/>
        </w:rPr>
      </w:pPr>
      <w:r w:rsidRPr="001E0A2B">
        <w:rPr>
          <w:rFonts w:ascii="Calibri" w:eastAsia="Arial" w:hAnsi="Calibri" w:cs="Calibri"/>
          <w:i/>
          <w:kern w:val="0"/>
          <w:sz w:val="20"/>
          <w:szCs w:val="20"/>
          <w14:ligatures w14:val="none"/>
        </w:rPr>
        <w:t xml:space="preserve">Save, N. (2026). </w:t>
      </w:r>
      <w:proofErr w:type="spellStart"/>
      <w:r w:rsidRPr="001E0A2B">
        <w:rPr>
          <w:rFonts w:ascii="Calibri" w:eastAsia="Arial" w:hAnsi="Calibri" w:cs="Calibri"/>
          <w:i/>
          <w:iCs/>
          <w:kern w:val="0"/>
          <w:sz w:val="20"/>
          <w:szCs w:val="20"/>
          <w14:ligatures w14:val="none"/>
        </w:rPr>
        <w:t>PayGuard</w:t>
      </w:r>
      <w:proofErr w:type="spellEnd"/>
      <w:r w:rsidRPr="001E0A2B">
        <w:rPr>
          <w:rFonts w:ascii="Calibri" w:eastAsia="Arial" w:hAnsi="Calibri" w:cs="Calibri"/>
          <w:i/>
          <w:iCs/>
          <w:kern w:val="0"/>
          <w:sz w:val="20"/>
          <w:szCs w:val="20"/>
          <w14:ligatures w14:val="none"/>
        </w:rPr>
        <w:t xml:space="preserve"> </w:t>
      </w:r>
      <w:proofErr w:type="gramStart"/>
      <w:r w:rsidRPr="001E0A2B">
        <w:rPr>
          <w:rFonts w:ascii="Calibri" w:eastAsia="Arial" w:hAnsi="Calibri" w:cs="Calibri"/>
          <w:i/>
          <w:iCs/>
          <w:kern w:val="0"/>
          <w:sz w:val="20"/>
          <w:szCs w:val="20"/>
          <w14:ligatures w14:val="none"/>
        </w:rPr>
        <w:t>AI</w:t>
      </w:r>
      <w:r w:rsidRPr="001E0A2B">
        <w:rPr>
          <w:rFonts w:ascii="Calibri" w:eastAsia="Arial" w:hAnsi="Calibri" w:cs="Calibri"/>
          <w:i/>
          <w:kern w:val="0"/>
          <w:sz w:val="20"/>
          <w:szCs w:val="20"/>
          <w14:ligatures w14:val="none"/>
        </w:rPr>
        <w:t xml:space="preserve"> .</w:t>
      </w:r>
      <w:proofErr w:type="gramEnd"/>
      <w:r w:rsidRPr="001E0A2B">
        <w:rPr>
          <w:rFonts w:ascii="Calibri" w:eastAsia="Arial" w:hAnsi="Calibri" w:cs="Calibri"/>
          <w:i/>
          <w:kern w:val="0"/>
          <w:sz w:val="20"/>
          <w:szCs w:val="20"/>
          <w14:ligatures w14:val="none"/>
        </w:rPr>
        <w:t xml:space="preserve"> GitHub</w:t>
      </w:r>
      <w:r w:rsidRPr="001E0A2B">
        <w:rPr>
          <w:rFonts w:ascii="Calibri" w:eastAsia="Arial" w:hAnsi="Calibri" w:cs="Calibri"/>
          <w:i/>
          <w:color w:val="555555"/>
          <w:kern w:val="0"/>
          <w:sz w:val="20"/>
          <w:szCs w:val="20"/>
          <w14:ligatures w14:val="none"/>
        </w:rPr>
        <w:t xml:space="preserve">. </w:t>
      </w:r>
      <w:hyperlink r:id="rId16" w:history="1">
        <w:r w:rsidRPr="001E0A2B">
          <w:rPr>
            <w:rFonts w:ascii="Calibri" w:eastAsia="Arial" w:hAnsi="Calibri" w:cs="Calibri"/>
            <w:i/>
            <w:color w:val="0563C1"/>
            <w:kern w:val="0"/>
            <w:sz w:val="20"/>
            <w:szCs w:val="20"/>
            <w:u w:val="single"/>
            <w14:ligatures w14:val="none"/>
          </w:rPr>
          <w:t>https://github.com/nehasave22/payguard-ai</w:t>
        </w:r>
      </w:hyperlink>
    </w:p>
    <w:p w14:paraId="5F42CC6B" w14:textId="77777777" w:rsidR="001E0A2B" w:rsidRPr="001E0A2B" w:rsidRDefault="001E0A2B" w:rsidP="001E0A2B">
      <w:pPr>
        <w:spacing w:before="240" w:after="0" w:line="240" w:lineRule="auto"/>
        <w:jc w:val="both"/>
        <w:rPr>
          <w:rFonts w:ascii="Calibri" w:eastAsia="Arial" w:hAnsi="Calibri" w:cs="Calibri"/>
          <w:kern w:val="0"/>
          <w:sz w:val="22"/>
          <w:szCs w:val="22"/>
          <w14:ligatures w14:val="none"/>
        </w:rPr>
      </w:pPr>
      <w:r w:rsidRPr="001E0A2B">
        <w:rPr>
          <w:rFonts w:ascii="Calibri" w:eastAsia="Arial" w:hAnsi="Calibri" w:cs="Calibri"/>
          <w:i/>
          <w:iCs/>
          <w:color w:val="555555"/>
          <w:kern w:val="0"/>
          <w:sz w:val="20"/>
          <w:szCs w:val="20"/>
          <w14:ligatures w14:val="none"/>
        </w:rPr>
        <w:t xml:space="preserve">Note: The </w:t>
      </w:r>
      <w:proofErr w:type="spellStart"/>
      <w:r w:rsidRPr="001E0A2B">
        <w:rPr>
          <w:rFonts w:ascii="Calibri" w:eastAsia="Arial" w:hAnsi="Calibri" w:cs="Calibri"/>
          <w:i/>
          <w:iCs/>
          <w:color w:val="555555"/>
          <w:kern w:val="0"/>
          <w:sz w:val="20"/>
          <w:szCs w:val="20"/>
          <w14:ligatures w14:val="none"/>
        </w:rPr>
        <w:t>PayGuard</w:t>
      </w:r>
      <w:proofErr w:type="spellEnd"/>
      <w:r w:rsidRPr="001E0A2B">
        <w:rPr>
          <w:rFonts w:ascii="Calibri" w:eastAsia="Arial" w:hAnsi="Calibri" w:cs="Calibri"/>
          <w:i/>
          <w:iCs/>
          <w:color w:val="555555"/>
          <w:kern w:val="0"/>
          <w:sz w:val="20"/>
          <w:szCs w:val="20"/>
          <w14:ligatures w14:val="none"/>
        </w:rPr>
        <w:t xml:space="preserve"> AI proof of concept referenced throughout was built by the author using synthetic data only. No real patient or provider data was used at any stage. </w:t>
      </w:r>
    </w:p>
    <w:p w14:paraId="20A91C3C" w14:textId="77777777" w:rsidR="001E0A2B" w:rsidRPr="001E0A2B" w:rsidRDefault="001E0A2B" w:rsidP="001E0A2B">
      <w:pPr>
        <w:spacing w:before="120" w:after="0" w:line="240" w:lineRule="auto"/>
        <w:jc w:val="both"/>
        <w:rPr>
          <w:rFonts w:ascii="Calibri" w:eastAsia="Arial" w:hAnsi="Calibri" w:cs="Calibri"/>
          <w:kern w:val="0"/>
          <w:sz w:val="20"/>
          <w:szCs w:val="20"/>
          <w14:ligatures w14:val="none"/>
        </w:rPr>
      </w:pPr>
    </w:p>
    <w:p w14:paraId="6AADF079" w14:textId="77777777" w:rsidR="001E0A2B" w:rsidRDefault="001E0A2B"/>
    <w:sectPr w:rsidR="001E0A2B" w:rsidSect="001E0A2B">
      <w:footerReference w:type="default" r:id="rId1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EAD6" w14:textId="77777777" w:rsidR="001E0A2B" w:rsidRDefault="001E0A2B">
    <w:pPr>
      <w:jc w:val="center"/>
    </w:pPr>
    <w:r>
      <w:rPr>
        <w:color w:val="999999"/>
        <w:sz w:val="16"/>
        <w:szCs w:val="16"/>
      </w:rPr>
      <w:t xml:space="preserve">Neha </w:t>
    </w:r>
    <w:proofErr w:type="gramStart"/>
    <w:r>
      <w:rPr>
        <w:color w:val="999999"/>
        <w:sz w:val="16"/>
        <w:szCs w:val="16"/>
      </w:rPr>
      <w:t>Save  |</w:t>
    </w:r>
    <w:proofErr w:type="gramEnd"/>
    <w:r>
      <w:rPr>
        <w:color w:val="999999"/>
        <w:sz w:val="16"/>
        <w:szCs w:val="16"/>
      </w:rPr>
      <w:t xml:space="preserve">  MS Analytics, Northeastern University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2B"/>
    <w:rsid w:val="001E0A2B"/>
    <w:rsid w:val="00D31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06D8"/>
  <w15:chartTrackingRefBased/>
  <w15:docId w15:val="{823AC9C4-81C7-4575-82A9-A508B277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A2B"/>
    <w:rPr>
      <w:rFonts w:eastAsiaTheme="majorEastAsia" w:cstheme="majorBidi"/>
      <w:color w:val="272727" w:themeColor="text1" w:themeTint="D8"/>
    </w:rPr>
  </w:style>
  <w:style w:type="paragraph" w:styleId="Title">
    <w:name w:val="Title"/>
    <w:basedOn w:val="Normal"/>
    <w:next w:val="Normal"/>
    <w:link w:val="TitleChar"/>
    <w:uiPriority w:val="10"/>
    <w:qFormat/>
    <w:rsid w:val="001E0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A2B"/>
    <w:pPr>
      <w:spacing w:before="160"/>
      <w:jc w:val="center"/>
    </w:pPr>
    <w:rPr>
      <w:i/>
      <w:iCs/>
      <w:color w:val="404040" w:themeColor="text1" w:themeTint="BF"/>
    </w:rPr>
  </w:style>
  <w:style w:type="character" w:customStyle="1" w:styleId="QuoteChar">
    <w:name w:val="Quote Char"/>
    <w:basedOn w:val="DefaultParagraphFont"/>
    <w:link w:val="Quote"/>
    <w:uiPriority w:val="29"/>
    <w:rsid w:val="001E0A2B"/>
    <w:rPr>
      <w:i/>
      <w:iCs/>
      <w:color w:val="404040" w:themeColor="text1" w:themeTint="BF"/>
    </w:rPr>
  </w:style>
  <w:style w:type="paragraph" w:styleId="ListParagraph">
    <w:name w:val="List Paragraph"/>
    <w:basedOn w:val="Normal"/>
    <w:uiPriority w:val="34"/>
    <w:qFormat/>
    <w:rsid w:val="001E0A2B"/>
    <w:pPr>
      <w:ind w:left="720"/>
      <w:contextualSpacing/>
    </w:pPr>
  </w:style>
  <w:style w:type="character" w:styleId="IntenseEmphasis">
    <w:name w:val="Intense Emphasis"/>
    <w:basedOn w:val="DefaultParagraphFont"/>
    <w:uiPriority w:val="21"/>
    <w:qFormat/>
    <w:rsid w:val="001E0A2B"/>
    <w:rPr>
      <w:i/>
      <w:iCs/>
      <w:color w:val="0F4761" w:themeColor="accent1" w:themeShade="BF"/>
    </w:rPr>
  </w:style>
  <w:style w:type="paragraph" w:styleId="IntenseQuote">
    <w:name w:val="Intense Quote"/>
    <w:basedOn w:val="Normal"/>
    <w:next w:val="Normal"/>
    <w:link w:val="IntenseQuoteChar"/>
    <w:uiPriority w:val="30"/>
    <w:qFormat/>
    <w:rsid w:val="001E0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A2B"/>
    <w:rPr>
      <w:i/>
      <w:iCs/>
      <w:color w:val="0F4761" w:themeColor="accent1" w:themeShade="BF"/>
    </w:rPr>
  </w:style>
  <w:style w:type="character" w:styleId="IntenseReference">
    <w:name w:val="Intense Reference"/>
    <w:basedOn w:val="DefaultParagraphFont"/>
    <w:uiPriority w:val="32"/>
    <w:qFormat/>
    <w:rsid w:val="001E0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oxo.com/payment-integrity-is-at-an-inflection-point-what-2025-revealed-and-what-2026-demands/" TargetMode="External"/><Relationship Id="rId13" Type="http://schemas.openxmlformats.org/officeDocument/2006/relationships/hyperlink" Target="https://www.hhs.gov/hipaa/index.html"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ms.gov/training-education/medicare-learning-networkr-mln/compliance/medicare-provider-compliance-tips/evaluation-management-services" TargetMode="External"/><Relationship Id="rId12" Type="http://schemas.openxmlformats.org/officeDocument/2006/relationships/hyperlink" Target="https://developers.openai.com/api/docs/guides/structured-outputs"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github.com/nehasave22/payguard-ai" TargetMode="External"/><Relationship Id="rId1" Type="http://schemas.openxmlformats.org/officeDocument/2006/relationships/styles" Target="styles.xml"/><Relationship Id="rId6" Type="http://schemas.openxmlformats.org/officeDocument/2006/relationships/hyperlink" Target="https://api.coverage.cms.gov/" TargetMode="External"/><Relationship Id="rId11" Type="http://schemas.openxmlformats.org/officeDocument/2006/relationships/hyperlink" Target="https://www.nextgov.com/sponsors/2025/10/how-ai-fights-fraud-enhance-healthcare-delivery/408994/" TargetMode="External"/><Relationship Id="rId5" Type="http://schemas.openxmlformats.org/officeDocument/2006/relationships/hyperlink" Target="https://www.cms.gov/medicare-coverage-database/search.aspx" TargetMode="External"/><Relationship Id="rId15" Type="http://schemas.openxmlformats.org/officeDocument/2006/relationships/hyperlink" Target="https://www.gao.gov/products/gao-24-107487" TargetMode="External"/><Relationship Id="rId10" Type="http://schemas.openxmlformats.org/officeDocument/2006/relationships/hyperlink" Target="https://www.nhcaa.org/tools-insights/about-health-care-fraud/the-challenge-of-health-care-fraud/" TargetMode="External"/><Relationship Id="rId19" Type="http://schemas.openxmlformats.org/officeDocument/2006/relationships/theme" Target="theme/theme1.xml"/><Relationship Id="rId4" Type="http://schemas.openxmlformats.org/officeDocument/2006/relationships/hyperlink" Target="https://www.sciencedirect.com/science/article/abs/pii/S1568494625017600" TargetMode="External"/><Relationship Id="rId9" Type="http://schemas.openxmlformats.org/officeDocument/2006/relationships/hyperlink" Target="https://www.businesswire.com/news/home/20250510793240/en/" TargetMode="External"/><Relationship Id="rId14" Type="http://schemas.openxmlformats.org/officeDocument/2006/relationships/hyperlink" Target="https://oig.hhs.gov/reports/work-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1810</Words>
  <Characters>10321</Characters>
  <Application>Microsoft Office Word</Application>
  <DocSecurity>0</DocSecurity>
  <Lines>86</Lines>
  <Paragraphs>24</Paragraphs>
  <ScaleCrop>false</ScaleCrop>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save</dc:creator>
  <cp:keywords/>
  <dc:description/>
  <cp:lastModifiedBy>neha save</cp:lastModifiedBy>
  <cp:revision>1</cp:revision>
  <dcterms:created xsi:type="dcterms:W3CDTF">2026-07-01T00:33:00Z</dcterms:created>
  <dcterms:modified xsi:type="dcterms:W3CDTF">2026-07-01T00:35:00Z</dcterms:modified>
</cp:coreProperties>
</file>