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6"/>
          <w:szCs w:val="46"/>
        </w:rPr>
        <w:t xml:space="preserve">LOWCODE VS TRADTIONAL CODING</w:t>
      </w:r>
    </w:p>
    <w:p>
      <w:pPr>
        <w:pBdr>
          <w:bottom w:val="single" w:color="0E7C7B" w:sz="14" w:space="6"/>
        </w:pBdr>
        <w:spacing w:after="40"/>
        <w:jc w:val="center"/>
      </w:pPr>
      <w:r>
        <w:rPr>
          <w:rFonts w:ascii="Calibri" w:cs="Calibri" w:eastAsia="Calibri" w:hAnsi="Calibri"/>
          <w:i/>
          <w:iCs/>
          <w:color w:val="0E7C7B"/>
          <w:sz w:val="24"/>
          <w:szCs w:val="24"/>
        </w:rPr>
        <w:t xml:space="preserve">A Comparative Study of Low-Code Development vs. Traditional Application Development</w:t>
      </w:r>
    </w:p>
    <w:p>
      <w:pPr>
        <w:spacing w:after="400" w:before="200"/>
        <w:jc w:val="center"/>
      </w:pPr>
      <w:r>
        <w:rPr>
          <w:rFonts w:ascii="Calibri" w:cs="Calibri" w:eastAsia="Calibri" w:hAnsi="Calibri"/>
          <w:b/>
          <w:bCs/>
          <w:color w:val="222222"/>
          <w:sz w:val="22"/>
          <w:szCs w:val="22"/>
        </w:rPr>
        <w:t xml:space="preserve">Author: Neha L Sewin, July 2026</w:t>
      </w:r>
    </w:p>
    <w:p>
      <w:pPr>
        <w:pStyle w:val="Heading1"/>
        <w:pBdr>
          <w:bottom w:val="single" w:color="1F3864" w:sz="8" w:space="4"/>
        </w:pBdr>
        <w:spacing w:after="200" w:before="400"/>
      </w:pPr>
      <w:r>
        <w:rPr>
          <w:rFonts w:ascii="Calibri" w:cs="Calibri" w:eastAsia="Calibri" w:hAnsi="Calibri"/>
          <w:b/>
          <w:bCs/>
          <w:color w:val="1F3864"/>
          <w:sz w:val="30"/>
          <w:szCs w:val="30"/>
        </w:rPr>
        <w:t xml:space="preserve">1. Overview</w:t>
      </w:r>
    </w:p>
    <w:p>
      <w:pPr>
        <w:spacing w:after="160" w:line="276"/>
      </w:pPr>
      <w:r>
        <w:rPr>
          <w:rFonts w:ascii="Calibri" w:cs="Calibri" w:eastAsia="Calibri" w:hAnsi="Calibri"/>
          <w:color w:val="222222"/>
          <w:sz w:val="22"/>
          <w:szCs w:val="22"/>
        </w:rPr>
        <w:t xml:space="preserve">Organizations building software today face a fundamental choice in how applications get built: low-code development platforms that assemble applications through visual, model-driven tooling, or traditional development that relies on hand-written code in general-purpose programming languages. Both approaches produce working software, but they optimize for different things, ship at different speeds, and carry different long-term costs. This study compares the two approaches across delivery speed, cost, flexibility, governance, and risk, and closes with a practical recommendation for choosing between them.</w:t>
      </w:r>
    </w:p>
    <w:p>
      <w:pPr>
        <w:spacing w:after="160" w:line="276"/>
      </w:pPr>
      <w:r>
        <w:rPr>
          <w:rFonts w:ascii="Calibri" w:cs="Calibri" w:eastAsia="Calibri" w:hAnsi="Calibri"/>
          <w:color w:val="222222"/>
          <w:sz w:val="22"/>
          <w:szCs w:val="22"/>
        </w:rPr>
        <w:t xml:space="preserve">Low-code platforms (e.g. Microsoft Power Platform, OutSystems, Mendix, Appian, Salesforce Lightning) provide drag-and-drop designers, pre-built connectors, and generated runtime logic, so non-specialist "citizen developers" and professional developers alike can produce working applications in days rather than months. Traditional development uses languages and frameworks such as Java, C#, Python, React, or Node.js, giving engineering teams full control over architecture, performance, and behaviour, at the cost of longer build cycles and a larger skilled-engineering footprint.</w:t>
      </w:r>
    </w:p>
    <w:p>
      <w:pPr>
        <w:spacing w:after="160" w:line="276"/>
      </w:pPr>
      <w:r>
        <w:rPr>
          <w:rFonts w:ascii="Calibri" w:cs="Calibri" w:eastAsia="Calibri" w:hAnsi="Calibri"/>
          <w:color w:val="222222"/>
          <w:sz w:val="22"/>
          <w:szCs w:val="22"/>
        </w:rPr>
        <w:t xml:space="preserve">Neither approach is universally superior. The right choice depends on the complexity of the problem, the criticality and expected lifespan of the system, the availability of engineering talent, and how tightly the application must integrate with existing enterprise architecture. The sections below lay out that decision in a structured, side-by-side format.</w:t>
      </w:r>
    </w:p>
    <w:p>
      <w:pPr>
        <w:pStyle w:val="Heading1"/>
        <w:pBdr>
          <w:bottom w:val="single" w:color="1F3864" w:sz="8" w:space="4"/>
        </w:pBdr>
        <w:spacing w:after="200" w:before="400"/>
      </w:pPr>
      <w:r>
        <w:rPr>
          <w:rFonts w:ascii="Calibri" w:cs="Calibri" w:eastAsia="Calibri" w:hAnsi="Calibri"/>
          <w:b/>
          <w:bCs/>
          <w:color w:val="1F3864"/>
          <w:sz w:val="30"/>
          <w:szCs w:val="30"/>
        </w:rPr>
        <w:t xml:space="preserve">2. Overview Comparison Matrix</w:t>
      </w:r>
    </w:p>
    <w:p>
      <w:pPr>
        <w:spacing w:after="160" w:line="276"/>
      </w:pPr>
      <w:r>
        <w:rPr>
          <w:rFonts w:ascii="Calibri" w:cs="Calibri" w:eastAsia="Calibri" w:hAnsi="Calibri"/>
          <w:color w:val="222222"/>
          <w:sz w:val="22"/>
          <w:szCs w:val="22"/>
        </w:rPr>
        <w:t xml:space="preserve">A high-level, at-a-glance contrast of the two approaches across the factors most decision-makers ask about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50"/>
        <w:gridCol w:w="3500"/>
      </w:tblGrid>
      <w:tr>
        <w:trPr>
          <w:tblHeader/>
        </w:trPr>
        <w:tc>
          <w:tcPr>
            <w:tcW w:type="dxa" w:w="240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Factor</w:t>
            </w:r>
          </w:p>
        </w:tc>
        <w:tc>
          <w:tcPr>
            <w:tcW w:type="dxa" w:w="345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Low-Code Development</w:t>
            </w:r>
          </w:p>
        </w:tc>
        <w:tc>
          <w:tcPr>
            <w:tcW w:type="dxa" w:w="350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Traditional Development</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Definition</w:t>
            </w:r>
          </w:p>
        </w:tc>
        <w:tc>
          <w:tcPr>
            <w:tcW w:type="dxa" w:w="34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Visual, model-driven platform that generates and hosts application logic</w:t>
            </w:r>
          </w:p>
        </w:tc>
        <w:tc>
          <w:tcPr>
            <w:tcW w:type="dxa" w:w="35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Hand-written source code built with programming languages and frameworks</w:t>
            </w:r>
          </w:p>
        </w:tc>
      </w:tr>
      <w:tr>
        <w:tc>
          <w:tcPr>
            <w:tcW w:type="dxa" w:w="24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Primary Builders</w:t>
            </w:r>
          </w:p>
        </w:tc>
        <w:tc>
          <w:tcPr>
            <w:tcW w:type="dxa" w:w="345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Citizen developers, business analysts, and professional developers</w:t>
            </w:r>
          </w:p>
        </w:tc>
        <w:tc>
          <w:tcPr>
            <w:tcW w:type="dxa" w:w="35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Trained software engineers and specialised architects</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Typical Time to Market</w:t>
            </w:r>
          </w:p>
        </w:tc>
        <w:tc>
          <w:tcPr>
            <w:tcW w:type="dxa" w:w="34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Days to a few weeks for standard business apps</w:t>
            </w:r>
          </w:p>
        </w:tc>
        <w:tc>
          <w:tcPr>
            <w:tcW w:type="dxa" w:w="35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Weeks to several months, depending on scope</w:t>
            </w:r>
          </w:p>
        </w:tc>
      </w:tr>
      <w:tr>
        <w:tc>
          <w:tcPr>
            <w:tcW w:type="dxa" w:w="24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Cost Profile</w:t>
            </w:r>
          </w:p>
        </w:tc>
        <w:tc>
          <w:tcPr>
            <w:tcW w:type="dxa" w:w="345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Lower upfront build cost; ongoing platform licensing fees</w:t>
            </w:r>
          </w:p>
        </w:tc>
        <w:tc>
          <w:tcPr>
            <w:tcW w:type="dxa" w:w="35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Higher upfront engineering cost; no per-user platform fees</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Customization Depth</w:t>
            </w:r>
          </w:p>
        </w:tc>
        <w:tc>
          <w:tcPr>
            <w:tcW w:type="dxa" w:w="34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Bounded by platform capabilities and connector availability</w:t>
            </w:r>
          </w:p>
        </w:tc>
        <w:tc>
          <w:tcPr>
            <w:tcW w:type="dxa" w:w="35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Effectively unlimited; constrained only by engineering effort</w:t>
            </w:r>
          </w:p>
        </w:tc>
      </w:tr>
      <w:tr>
        <w:tc>
          <w:tcPr>
            <w:tcW w:type="dxa" w:w="24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Code Ownership</w:t>
            </w:r>
          </w:p>
        </w:tc>
        <w:tc>
          <w:tcPr>
            <w:tcW w:type="dxa" w:w="345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Logic often lives inside the vendor's proprietary model/runtime</w:t>
            </w:r>
          </w:p>
        </w:tc>
        <w:tc>
          <w:tcPr>
            <w:tcW w:type="dxa" w:w="35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Full ownership of source code and build pipeline</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Best Fit</w:t>
            </w:r>
          </w:p>
        </w:tc>
        <w:tc>
          <w:tcPr>
            <w:tcW w:type="dxa" w:w="34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Internal tools, workflow apps, forms, MVPs, departmental apps</w:t>
            </w:r>
          </w:p>
        </w:tc>
        <w:tc>
          <w:tcPr>
            <w:tcW w:type="dxa" w:w="35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Core products, high-scale systems, complex or regulated domains</w:t>
            </w:r>
          </w:p>
        </w:tc>
      </w:tr>
      <w:tr>
        <w:tc>
          <w:tcPr>
            <w:tcW w:type="dxa" w:w="24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Example Platforms / Stacks</w:t>
            </w:r>
          </w:p>
        </w:tc>
        <w:tc>
          <w:tcPr>
            <w:tcW w:type="dxa" w:w="345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Power Platform, OutSystems, Mendix, Appian, Salesforce</w:t>
            </w:r>
          </w:p>
        </w:tc>
        <w:tc>
          <w:tcPr>
            <w:tcW w:type="dxa" w:w="35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Java/Spring, .NET, React/Node, Python/Django, Go</w:t>
            </w:r>
          </w:p>
        </w:tc>
      </w:tr>
    </w:tbl>
    <w:p>
      <w:pPr>
        <w:pageBreakBefore/>
      </w:pPr>
    </w:p>
    <w:p>
      <w:pPr>
        <w:pStyle w:val="Heading1"/>
        <w:pBdr>
          <w:bottom w:val="single" w:color="1F3864" w:sz="8" w:space="4"/>
        </w:pBdr>
        <w:spacing w:after="200" w:before="400"/>
      </w:pPr>
      <w:r>
        <w:rPr>
          <w:rFonts w:ascii="Calibri" w:cs="Calibri" w:eastAsia="Calibri" w:hAnsi="Calibri"/>
          <w:b/>
          <w:bCs/>
          <w:color w:val="1F3864"/>
          <w:sz w:val="30"/>
          <w:szCs w:val="30"/>
        </w:rPr>
        <w:t xml:space="preserve">3. Comparative Score Card</w:t>
      </w:r>
    </w:p>
    <w:p>
      <w:pPr>
        <w:spacing w:after="160" w:line="276"/>
      </w:pPr>
      <w:r>
        <w:rPr>
          <w:rFonts w:ascii="Calibri" w:cs="Calibri" w:eastAsia="Calibri" w:hAnsi="Calibri"/>
          <w:color w:val="222222"/>
          <w:sz w:val="22"/>
          <w:szCs w:val="22"/>
        </w:rPr>
        <w:t xml:space="preserve">Each dimension is scored on a 1-10 scale (10 = strongest outcome for that approach) based on typical enterprise deployments. Scores reflect general patterns; individual projects can and do vary.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800"/>
        <w:gridCol w:w="1800"/>
        <w:gridCol w:w="2750"/>
      </w:tblGrid>
      <w:tr>
        <w:trPr>
          <w:tblHeader/>
        </w:trPr>
        <w:tc>
          <w:tcPr>
            <w:tcW w:type="dxa" w:w="300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Dimension</w:t>
            </w:r>
          </w:p>
        </w:tc>
        <w:tc>
          <w:tcPr>
            <w:tcW w:type="dxa" w:w="180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Low-Code</w:t>
            </w:r>
          </w:p>
        </w:tc>
        <w:tc>
          <w:tcPr>
            <w:tcW w:type="dxa" w:w="180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Traditional</w:t>
            </w:r>
          </w:p>
        </w:tc>
        <w:tc>
          <w:tcPr>
            <w:tcW w:type="dxa" w:w="275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Edge Goes To</w:t>
            </w:r>
          </w:p>
        </w:tc>
      </w:tr>
      <w:tr>
        <w:tc>
          <w:tcPr>
            <w:tcW w:type="dxa" w:w="30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Speed to Market</w:t>
            </w:r>
          </w:p>
        </w:tc>
        <w:tc>
          <w:tcPr>
            <w:tcW w:type="dxa" w:w="1800"/>
            <w:shd w:fill="E2F0D9" w:val="clear"/>
            <w:tcMar>
              <w:top w:type="dxa" w:w="90"/>
              <w:left w:type="dxa" w:w="120"/>
              <w:bottom w:type="dxa" w:w="90"/>
              <w:right w:type="dxa" w:w="120"/>
            </w:tcMar>
            <w:vAlign w:val="center"/>
          </w:tcPr>
          <w:p>
            <w:pPr>
              <w:spacing w:after="0"/>
              <w:jc w:val="center"/>
            </w:pPr>
            <w:r>
              <w:rPr>
                <w:rFonts w:ascii="Calibri" w:cs="Calibri" w:eastAsia="Calibri" w:hAnsi="Calibri"/>
                <w:b/>
                <w:bCs/>
                <w:color w:val="375623"/>
                <w:sz w:val="20"/>
                <w:szCs w:val="20"/>
              </w:rPr>
              <w:t xml:space="preserve">9 / 10</w:t>
            </w:r>
          </w:p>
        </w:tc>
        <w:tc>
          <w:tcPr>
            <w:tcW w:type="dxa" w:w="1800"/>
            <w:shd w:fill="FBE5E5" w:val="clear"/>
            <w:tcMar>
              <w:top w:type="dxa" w:w="90"/>
              <w:left w:type="dxa" w:w="120"/>
              <w:bottom w:type="dxa" w:w="90"/>
              <w:right w:type="dxa" w:w="120"/>
            </w:tcMar>
            <w:vAlign w:val="center"/>
          </w:tcPr>
          <w:p>
            <w:pPr>
              <w:spacing w:after="0"/>
              <w:jc w:val="center"/>
            </w:pPr>
            <w:r>
              <w:rPr>
                <w:rFonts w:ascii="Calibri" w:cs="Calibri" w:eastAsia="Calibri" w:hAnsi="Calibri"/>
                <w:b/>
                <w:bCs/>
                <w:color w:val="A6272C"/>
                <w:sz w:val="20"/>
                <w:szCs w:val="20"/>
              </w:rPr>
              <w:t xml:space="preserve">4 / 10</w:t>
            </w:r>
          </w:p>
        </w:tc>
        <w:tc>
          <w:tcPr>
            <w:tcW w:type="dxa" w:w="2750"/>
            <w:shd w:fill="FFFFFF" w:val="clear"/>
            <w:tcMar>
              <w:top w:type="dxa" w:w="90"/>
              <w:left w:type="dxa" w:w="120"/>
              <w:bottom w:type="dxa" w:w="90"/>
              <w:right w:type="dxa" w:w="120"/>
            </w:tcMar>
            <w:vAlign w:val="center"/>
          </w:tcPr>
          <w:p>
            <w:pPr>
              <w:spacing w:after="0"/>
              <w:jc w:val="center"/>
            </w:pPr>
            <w:r>
              <w:rPr>
                <w:rFonts w:ascii="Calibri" w:cs="Calibri" w:eastAsia="Calibri" w:hAnsi="Calibri"/>
                <w:b/>
                <w:bCs/>
                <w:color w:val="0E7C7B"/>
                <w:sz w:val="20"/>
                <w:szCs w:val="20"/>
              </w:rPr>
              <w:t xml:space="preserve">Low-Code</w:t>
            </w:r>
          </w:p>
        </w:tc>
      </w:tr>
      <w:tr>
        <w:tc>
          <w:tcPr>
            <w:tcW w:type="dxa" w:w="30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Total Cost of Ownership (short-term)</w:t>
            </w:r>
          </w:p>
        </w:tc>
        <w:tc>
          <w:tcPr>
            <w:tcW w:type="dxa" w:w="1800"/>
            <w:shd w:fill="E2F0D9" w:val="clear"/>
            <w:tcMar>
              <w:top w:type="dxa" w:w="90"/>
              <w:left w:type="dxa" w:w="120"/>
              <w:bottom w:type="dxa" w:w="90"/>
              <w:right w:type="dxa" w:w="120"/>
            </w:tcMar>
            <w:vAlign w:val="center"/>
          </w:tcPr>
          <w:p>
            <w:pPr>
              <w:spacing w:after="0"/>
              <w:jc w:val="center"/>
            </w:pPr>
            <w:r>
              <w:rPr>
                <w:rFonts w:ascii="Calibri" w:cs="Calibri" w:eastAsia="Calibri" w:hAnsi="Calibri"/>
                <w:b/>
                <w:bCs/>
                <w:color w:val="375623"/>
                <w:sz w:val="20"/>
                <w:szCs w:val="20"/>
              </w:rPr>
              <w:t xml:space="preserve">8 / 10</w:t>
            </w:r>
          </w:p>
        </w:tc>
        <w:tc>
          <w:tcPr>
            <w:tcW w:type="dxa" w:w="1800"/>
            <w:shd w:fill="FBE5E5" w:val="clear"/>
            <w:tcMar>
              <w:top w:type="dxa" w:w="90"/>
              <w:left w:type="dxa" w:w="120"/>
              <w:bottom w:type="dxa" w:w="90"/>
              <w:right w:type="dxa" w:w="120"/>
            </w:tcMar>
            <w:vAlign w:val="center"/>
          </w:tcPr>
          <w:p>
            <w:pPr>
              <w:spacing w:after="0"/>
              <w:jc w:val="center"/>
            </w:pPr>
            <w:r>
              <w:rPr>
                <w:rFonts w:ascii="Calibri" w:cs="Calibri" w:eastAsia="Calibri" w:hAnsi="Calibri"/>
                <w:b/>
                <w:bCs/>
                <w:color w:val="A6272C"/>
                <w:sz w:val="20"/>
                <w:szCs w:val="20"/>
              </w:rPr>
              <w:t xml:space="preserve">4 / 10</w:t>
            </w:r>
          </w:p>
        </w:tc>
        <w:tc>
          <w:tcPr>
            <w:tcW w:type="dxa" w:w="2750"/>
            <w:shd w:fill="F2F2F2" w:val="clear"/>
            <w:tcMar>
              <w:top w:type="dxa" w:w="90"/>
              <w:left w:type="dxa" w:w="120"/>
              <w:bottom w:type="dxa" w:w="90"/>
              <w:right w:type="dxa" w:w="120"/>
            </w:tcMar>
            <w:vAlign w:val="center"/>
          </w:tcPr>
          <w:p>
            <w:pPr>
              <w:spacing w:after="0"/>
              <w:jc w:val="center"/>
            </w:pPr>
            <w:r>
              <w:rPr>
                <w:rFonts w:ascii="Calibri" w:cs="Calibri" w:eastAsia="Calibri" w:hAnsi="Calibri"/>
                <w:b/>
                <w:bCs/>
                <w:color w:val="0E7C7B"/>
                <w:sz w:val="20"/>
                <w:szCs w:val="20"/>
              </w:rPr>
              <w:t xml:space="preserve">Low-Code</w:t>
            </w:r>
          </w:p>
        </w:tc>
      </w:tr>
      <w:tr>
        <w:tc>
          <w:tcPr>
            <w:tcW w:type="dxa" w:w="30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Total Cost of Ownership (long-term, at scale)</w:t>
            </w:r>
          </w:p>
        </w:tc>
        <w:tc>
          <w:tcPr>
            <w:tcW w:type="dxa" w:w="1800"/>
            <w:shd w:fill="FFF2CC" w:val="clear"/>
            <w:tcMar>
              <w:top w:type="dxa" w:w="90"/>
              <w:left w:type="dxa" w:w="120"/>
              <w:bottom w:type="dxa" w:w="90"/>
              <w:right w:type="dxa" w:w="120"/>
            </w:tcMar>
            <w:vAlign w:val="center"/>
          </w:tcPr>
          <w:p>
            <w:pPr>
              <w:spacing w:after="0"/>
              <w:jc w:val="center"/>
            </w:pPr>
            <w:r>
              <w:rPr>
                <w:rFonts w:ascii="Calibri" w:cs="Calibri" w:eastAsia="Calibri" w:hAnsi="Calibri"/>
                <w:b/>
                <w:bCs/>
                <w:color w:val="7F6000"/>
                <w:sz w:val="20"/>
                <w:szCs w:val="20"/>
              </w:rPr>
              <w:t xml:space="preserve">5 / 10</w:t>
            </w:r>
          </w:p>
        </w:tc>
        <w:tc>
          <w:tcPr>
            <w:tcW w:type="dxa" w:w="1800"/>
            <w:shd w:fill="FFF2CC" w:val="clear"/>
            <w:tcMar>
              <w:top w:type="dxa" w:w="90"/>
              <w:left w:type="dxa" w:w="120"/>
              <w:bottom w:type="dxa" w:w="90"/>
              <w:right w:type="dxa" w:w="120"/>
            </w:tcMar>
            <w:vAlign w:val="center"/>
          </w:tcPr>
          <w:p>
            <w:pPr>
              <w:spacing w:after="0"/>
              <w:jc w:val="center"/>
            </w:pPr>
            <w:r>
              <w:rPr>
                <w:rFonts w:ascii="Calibri" w:cs="Calibri" w:eastAsia="Calibri" w:hAnsi="Calibri"/>
                <w:b/>
                <w:bCs/>
                <w:color w:val="7F6000"/>
                <w:sz w:val="20"/>
                <w:szCs w:val="20"/>
              </w:rPr>
              <w:t xml:space="preserve">7 / 10</w:t>
            </w:r>
          </w:p>
        </w:tc>
        <w:tc>
          <w:tcPr>
            <w:tcW w:type="dxa" w:w="2750"/>
            <w:shd w:fill="FFFFFF" w:val="clear"/>
            <w:tcMar>
              <w:top w:type="dxa" w:w="90"/>
              <w:left w:type="dxa" w:w="120"/>
              <w:bottom w:type="dxa" w:w="90"/>
              <w:right w:type="dxa" w:w="120"/>
            </w:tcMar>
            <w:vAlign w:val="center"/>
          </w:tcPr>
          <w:p>
            <w:pPr>
              <w:spacing w:after="0"/>
              <w:jc w:val="center"/>
            </w:pPr>
            <w:r>
              <w:rPr>
                <w:rFonts w:ascii="Calibri" w:cs="Calibri" w:eastAsia="Calibri" w:hAnsi="Calibri"/>
                <w:b/>
                <w:bCs/>
                <w:color w:val="1F3864"/>
                <w:sz w:val="20"/>
                <w:szCs w:val="20"/>
              </w:rPr>
              <w:t xml:space="preserve">Traditional</w:t>
            </w:r>
          </w:p>
        </w:tc>
      </w:tr>
      <w:tr>
        <w:tc>
          <w:tcPr>
            <w:tcW w:type="dxa" w:w="30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Customization &amp; Flexibility</w:t>
            </w:r>
          </w:p>
        </w:tc>
        <w:tc>
          <w:tcPr>
            <w:tcW w:type="dxa" w:w="1800"/>
            <w:shd w:fill="FBE5E5" w:val="clear"/>
            <w:tcMar>
              <w:top w:type="dxa" w:w="90"/>
              <w:left w:type="dxa" w:w="120"/>
              <w:bottom w:type="dxa" w:w="90"/>
              <w:right w:type="dxa" w:w="120"/>
            </w:tcMar>
            <w:vAlign w:val="center"/>
          </w:tcPr>
          <w:p>
            <w:pPr>
              <w:spacing w:after="0"/>
              <w:jc w:val="center"/>
            </w:pPr>
            <w:r>
              <w:rPr>
                <w:rFonts w:ascii="Calibri" w:cs="Calibri" w:eastAsia="Calibri" w:hAnsi="Calibri"/>
                <w:b/>
                <w:bCs/>
                <w:color w:val="A6272C"/>
                <w:sz w:val="20"/>
                <w:szCs w:val="20"/>
              </w:rPr>
              <w:t xml:space="preserve">4 / 10</w:t>
            </w:r>
          </w:p>
        </w:tc>
        <w:tc>
          <w:tcPr>
            <w:tcW w:type="dxa" w:w="1800"/>
            <w:shd w:fill="E2F0D9" w:val="clear"/>
            <w:tcMar>
              <w:top w:type="dxa" w:w="90"/>
              <w:left w:type="dxa" w:w="120"/>
              <w:bottom w:type="dxa" w:w="90"/>
              <w:right w:type="dxa" w:w="120"/>
            </w:tcMar>
            <w:vAlign w:val="center"/>
          </w:tcPr>
          <w:p>
            <w:pPr>
              <w:spacing w:after="0"/>
              <w:jc w:val="center"/>
            </w:pPr>
            <w:r>
              <w:rPr>
                <w:rFonts w:ascii="Calibri" w:cs="Calibri" w:eastAsia="Calibri" w:hAnsi="Calibri"/>
                <w:b/>
                <w:bCs/>
                <w:color w:val="375623"/>
                <w:sz w:val="20"/>
                <w:szCs w:val="20"/>
              </w:rPr>
              <w:t xml:space="preserve">9 / 10</w:t>
            </w:r>
          </w:p>
        </w:tc>
        <w:tc>
          <w:tcPr>
            <w:tcW w:type="dxa" w:w="2750"/>
            <w:shd w:fill="F2F2F2" w:val="clear"/>
            <w:tcMar>
              <w:top w:type="dxa" w:w="90"/>
              <w:left w:type="dxa" w:w="120"/>
              <w:bottom w:type="dxa" w:w="90"/>
              <w:right w:type="dxa" w:w="120"/>
            </w:tcMar>
            <w:vAlign w:val="center"/>
          </w:tcPr>
          <w:p>
            <w:pPr>
              <w:spacing w:after="0"/>
              <w:jc w:val="center"/>
            </w:pPr>
            <w:r>
              <w:rPr>
                <w:rFonts w:ascii="Calibri" w:cs="Calibri" w:eastAsia="Calibri" w:hAnsi="Calibri"/>
                <w:b/>
                <w:bCs/>
                <w:color w:val="1F3864"/>
                <w:sz w:val="20"/>
                <w:szCs w:val="20"/>
              </w:rPr>
              <w:t xml:space="preserve">Traditional</w:t>
            </w:r>
          </w:p>
        </w:tc>
      </w:tr>
      <w:tr>
        <w:tc>
          <w:tcPr>
            <w:tcW w:type="dxa" w:w="30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Performance at Scale</w:t>
            </w:r>
          </w:p>
        </w:tc>
        <w:tc>
          <w:tcPr>
            <w:tcW w:type="dxa" w:w="1800"/>
            <w:shd w:fill="FFF2CC" w:val="clear"/>
            <w:tcMar>
              <w:top w:type="dxa" w:w="90"/>
              <w:left w:type="dxa" w:w="120"/>
              <w:bottom w:type="dxa" w:w="90"/>
              <w:right w:type="dxa" w:w="120"/>
            </w:tcMar>
            <w:vAlign w:val="center"/>
          </w:tcPr>
          <w:p>
            <w:pPr>
              <w:spacing w:after="0"/>
              <w:jc w:val="center"/>
            </w:pPr>
            <w:r>
              <w:rPr>
                <w:rFonts w:ascii="Calibri" w:cs="Calibri" w:eastAsia="Calibri" w:hAnsi="Calibri"/>
                <w:b/>
                <w:bCs/>
                <w:color w:val="7F6000"/>
                <w:sz w:val="20"/>
                <w:szCs w:val="20"/>
              </w:rPr>
              <w:t xml:space="preserve">5 / 10</w:t>
            </w:r>
          </w:p>
        </w:tc>
        <w:tc>
          <w:tcPr>
            <w:tcW w:type="dxa" w:w="1800"/>
            <w:shd w:fill="E2F0D9" w:val="clear"/>
            <w:tcMar>
              <w:top w:type="dxa" w:w="90"/>
              <w:left w:type="dxa" w:w="120"/>
              <w:bottom w:type="dxa" w:w="90"/>
              <w:right w:type="dxa" w:w="120"/>
            </w:tcMar>
            <w:vAlign w:val="center"/>
          </w:tcPr>
          <w:p>
            <w:pPr>
              <w:spacing w:after="0"/>
              <w:jc w:val="center"/>
            </w:pPr>
            <w:r>
              <w:rPr>
                <w:rFonts w:ascii="Calibri" w:cs="Calibri" w:eastAsia="Calibri" w:hAnsi="Calibri"/>
                <w:b/>
                <w:bCs/>
                <w:color w:val="375623"/>
                <w:sz w:val="20"/>
                <w:szCs w:val="20"/>
              </w:rPr>
              <w:t xml:space="preserve">9 / 10</w:t>
            </w:r>
          </w:p>
        </w:tc>
        <w:tc>
          <w:tcPr>
            <w:tcW w:type="dxa" w:w="2750"/>
            <w:shd w:fill="FFFFFF" w:val="clear"/>
            <w:tcMar>
              <w:top w:type="dxa" w:w="90"/>
              <w:left w:type="dxa" w:w="120"/>
              <w:bottom w:type="dxa" w:w="90"/>
              <w:right w:type="dxa" w:w="120"/>
            </w:tcMar>
            <w:vAlign w:val="center"/>
          </w:tcPr>
          <w:p>
            <w:pPr>
              <w:spacing w:after="0"/>
              <w:jc w:val="center"/>
            </w:pPr>
            <w:r>
              <w:rPr>
                <w:rFonts w:ascii="Calibri" w:cs="Calibri" w:eastAsia="Calibri" w:hAnsi="Calibri"/>
                <w:b/>
                <w:bCs/>
                <w:color w:val="1F3864"/>
                <w:sz w:val="20"/>
                <w:szCs w:val="20"/>
              </w:rPr>
              <w:t xml:space="preserve">Traditional</w:t>
            </w:r>
          </w:p>
        </w:tc>
      </w:tr>
      <w:tr>
        <w:tc>
          <w:tcPr>
            <w:tcW w:type="dxa" w:w="30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Maintainability Over Time</w:t>
            </w:r>
          </w:p>
        </w:tc>
        <w:tc>
          <w:tcPr>
            <w:tcW w:type="dxa" w:w="1800"/>
            <w:shd w:fill="FFF2CC" w:val="clear"/>
            <w:tcMar>
              <w:top w:type="dxa" w:w="90"/>
              <w:left w:type="dxa" w:w="120"/>
              <w:bottom w:type="dxa" w:w="90"/>
              <w:right w:type="dxa" w:w="120"/>
            </w:tcMar>
            <w:vAlign w:val="center"/>
          </w:tcPr>
          <w:p>
            <w:pPr>
              <w:spacing w:after="0"/>
              <w:jc w:val="center"/>
            </w:pPr>
            <w:r>
              <w:rPr>
                <w:rFonts w:ascii="Calibri" w:cs="Calibri" w:eastAsia="Calibri" w:hAnsi="Calibri"/>
                <w:b/>
                <w:bCs/>
                <w:color w:val="7F6000"/>
                <w:sz w:val="20"/>
                <w:szCs w:val="20"/>
              </w:rPr>
              <w:t xml:space="preserve">5 / 10</w:t>
            </w:r>
          </w:p>
        </w:tc>
        <w:tc>
          <w:tcPr>
            <w:tcW w:type="dxa" w:w="1800"/>
            <w:shd w:fill="FFF2CC" w:val="clear"/>
            <w:tcMar>
              <w:top w:type="dxa" w:w="90"/>
              <w:left w:type="dxa" w:w="120"/>
              <w:bottom w:type="dxa" w:w="90"/>
              <w:right w:type="dxa" w:w="120"/>
            </w:tcMar>
            <w:vAlign w:val="center"/>
          </w:tcPr>
          <w:p>
            <w:pPr>
              <w:spacing w:after="0"/>
              <w:jc w:val="center"/>
            </w:pPr>
            <w:r>
              <w:rPr>
                <w:rFonts w:ascii="Calibri" w:cs="Calibri" w:eastAsia="Calibri" w:hAnsi="Calibri"/>
                <w:b/>
                <w:bCs/>
                <w:color w:val="7F6000"/>
                <w:sz w:val="20"/>
                <w:szCs w:val="20"/>
              </w:rPr>
              <w:t xml:space="preserve">7 / 10</w:t>
            </w:r>
          </w:p>
        </w:tc>
        <w:tc>
          <w:tcPr>
            <w:tcW w:type="dxa" w:w="2750"/>
            <w:shd w:fill="F2F2F2" w:val="clear"/>
            <w:tcMar>
              <w:top w:type="dxa" w:w="90"/>
              <w:left w:type="dxa" w:w="120"/>
              <w:bottom w:type="dxa" w:w="90"/>
              <w:right w:type="dxa" w:w="120"/>
            </w:tcMar>
            <w:vAlign w:val="center"/>
          </w:tcPr>
          <w:p>
            <w:pPr>
              <w:spacing w:after="0"/>
              <w:jc w:val="center"/>
            </w:pPr>
            <w:r>
              <w:rPr>
                <w:rFonts w:ascii="Calibri" w:cs="Calibri" w:eastAsia="Calibri" w:hAnsi="Calibri"/>
                <w:b/>
                <w:bCs/>
                <w:color w:val="1F3864"/>
                <w:sz w:val="20"/>
                <w:szCs w:val="20"/>
              </w:rPr>
              <w:t xml:space="preserve">Traditional</w:t>
            </w:r>
          </w:p>
        </w:tc>
      </w:tr>
      <w:tr>
        <w:tc>
          <w:tcPr>
            <w:tcW w:type="dxa" w:w="30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Ease of Learning</w:t>
            </w:r>
          </w:p>
        </w:tc>
        <w:tc>
          <w:tcPr>
            <w:tcW w:type="dxa" w:w="1800"/>
            <w:shd w:fill="E2F0D9" w:val="clear"/>
            <w:tcMar>
              <w:top w:type="dxa" w:w="90"/>
              <w:left w:type="dxa" w:w="120"/>
              <w:bottom w:type="dxa" w:w="90"/>
              <w:right w:type="dxa" w:w="120"/>
            </w:tcMar>
            <w:vAlign w:val="center"/>
          </w:tcPr>
          <w:p>
            <w:pPr>
              <w:spacing w:after="0"/>
              <w:jc w:val="center"/>
            </w:pPr>
            <w:r>
              <w:rPr>
                <w:rFonts w:ascii="Calibri" w:cs="Calibri" w:eastAsia="Calibri" w:hAnsi="Calibri"/>
                <w:b/>
                <w:bCs/>
                <w:color w:val="375623"/>
                <w:sz w:val="20"/>
                <w:szCs w:val="20"/>
              </w:rPr>
              <w:t xml:space="preserve">8 / 10</w:t>
            </w:r>
          </w:p>
        </w:tc>
        <w:tc>
          <w:tcPr>
            <w:tcW w:type="dxa" w:w="1800"/>
            <w:shd w:fill="FBE5E5" w:val="clear"/>
            <w:tcMar>
              <w:top w:type="dxa" w:w="90"/>
              <w:left w:type="dxa" w:w="120"/>
              <w:bottom w:type="dxa" w:w="90"/>
              <w:right w:type="dxa" w:w="120"/>
            </w:tcMar>
            <w:vAlign w:val="center"/>
          </w:tcPr>
          <w:p>
            <w:pPr>
              <w:spacing w:after="0"/>
              <w:jc w:val="center"/>
            </w:pPr>
            <w:r>
              <w:rPr>
                <w:rFonts w:ascii="Calibri" w:cs="Calibri" w:eastAsia="Calibri" w:hAnsi="Calibri"/>
                <w:b/>
                <w:bCs/>
                <w:color w:val="A6272C"/>
                <w:sz w:val="20"/>
                <w:szCs w:val="20"/>
              </w:rPr>
              <w:t xml:space="preserve">4 / 10</w:t>
            </w:r>
          </w:p>
        </w:tc>
        <w:tc>
          <w:tcPr>
            <w:tcW w:type="dxa" w:w="2750"/>
            <w:shd w:fill="FFFFFF" w:val="clear"/>
            <w:tcMar>
              <w:top w:type="dxa" w:w="90"/>
              <w:left w:type="dxa" w:w="120"/>
              <w:bottom w:type="dxa" w:w="90"/>
              <w:right w:type="dxa" w:w="120"/>
            </w:tcMar>
            <w:vAlign w:val="center"/>
          </w:tcPr>
          <w:p>
            <w:pPr>
              <w:spacing w:after="0"/>
              <w:jc w:val="center"/>
            </w:pPr>
            <w:r>
              <w:rPr>
                <w:rFonts w:ascii="Calibri" w:cs="Calibri" w:eastAsia="Calibri" w:hAnsi="Calibri"/>
                <w:b/>
                <w:bCs/>
                <w:color w:val="0E7C7B"/>
                <w:sz w:val="20"/>
                <w:szCs w:val="20"/>
              </w:rPr>
              <w:t xml:space="preserve">Low-Code</w:t>
            </w:r>
          </w:p>
        </w:tc>
      </w:tr>
      <w:tr>
        <w:tc>
          <w:tcPr>
            <w:tcW w:type="dxa" w:w="30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Integration Breadth (standard SaaS/APIs)</w:t>
            </w:r>
          </w:p>
        </w:tc>
        <w:tc>
          <w:tcPr>
            <w:tcW w:type="dxa" w:w="1800"/>
            <w:shd w:fill="E2F0D9" w:val="clear"/>
            <w:tcMar>
              <w:top w:type="dxa" w:w="90"/>
              <w:left w:type="dxa" w:w="120"/>
              <w:bottom w:type="dxa" w:w="90"/>
              <w:right w:type="dxa" w:w="120"/>
            </w:tcMar>
            <w:vAlign w:val="center"/>
          </w:tcPr>
          <w:p>
            <w:pPr>
              <w:spacing w:after="0"/>
              <w:jc w:val="center"/>
            </w:pPr>
            <w:r>
              <w:rPr>
                <w:rFonts w:ascii="Calibri" w:cs="Calibri" w:eastAsia="Calibri" w:hAnsi="Calibri"/>
                <w:b/>
                <w:bCs/>
                <w:color w:val="375623"/>
                <w:sz w:val="20"/>
                <w:szCs w:val="20"/>
              </w:rPr>
              <w:t xml:space="preserve">8 / 10</w:t>
            </w:r>
          </w:p>
        </w:tc>
        <w:tc>
          <w:tcPr>
            <w:tcW w:type="dxa" w:w="1800"/>
            <w:shd w:fill="FFF2CC" w:val="clear"/>
            <w:tcMar>
              <w:top w:type="dxa" w:w="90"/>
              <w:left w:type="dxa" w:w="120"/>
              <w:bottom w:type="dxa" w:w="90"/>
              <w:right w:type="dxa" w:w="120"/>
            </w:tcMar>
            <w:vAlign w:val="center"/>
          </w:tcPr>
          <w:p>
            <w:pPr>
              <w:spacing w:after="0"/>
              <w:jc w:val="center"/>
            </w:pPr>
            <w:r>
              <w:rPr>
                <w:rFonts w:ascii="Calibri" w:cs="Calibri" w:eastAsia="Calibri" w:hAnsi="Calibri"/>
                <w:b/>
                <w:bCs/>
                <w:color w:val="7F6000"/>
                <w:sz w:val="20"/>
                <w:szCs w:val="20"/>
              </w:rPr>
              <w:t xml:space="preserve">6 / 10</w:t>
            </w:r>
          </w:p>
        </w:tc>
        <w:tc>
          <w:tcPr>
            <w:tcW w:type="dxa" w:w="2750"/>
            <w:shd w:fill="F2F2F2" w:val="clear"/>
            <w:tcMar>
              <w:top w:type="dxa" w:w="90"/>
              <w:left w:type="dxa" w:w="120"/>
              <w:bottom w:type="dxa" w:w="90"/>
              <w:right w:type="dxa" w:w="120"/>
            </w:tcMar>
            <w:vAlign w:val="center"/>
          </w:tcPr>
          <w:p>
            <w:pPr>
              <w:spacing w:after="0"/>
              <w:jc w:val="center"/>
            </w:pPr>
            <w:r>
              <w:rPr>
                <w:rFonts w:ascii="Calibri" w:cs="Calibri" w:eastAsia="Calibri" w:hAnsi="Calibri"/>
                <w:b/>
                <w:bCs/>
                <w:color w:val="0E7C7B"/>
                <w:sz w:val="20"/>
                <w:szCs w:val="20"/>
              </w:rPr>
              <w:t xml:space="preserve">Low-Code</w:t>
            </w:r>
          </w:p>
        </w:tc>
      </w:tr>
      <w:tr>
        <w:tc>
          <w:tcPr>
            <w:tcW w:type="dxa" w:w="30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Integration Depth (custom/legacy systems)</w:t>
            </w:r>
          </w:p>
        </w:tc>
        <w:tc>
          <w:tcPr>
            <w:tcW w:type="dxa" w:w="1800"/>
            <w:shd w:fill="FBE5E5" w:val="clear"/>
            <w:tcMar>
              <w:top w:type="dxa" w:w="90"/>
              <w:left w:type="dxa" w:w="120"/>
              <w:bottom w:type="dxa" w:w="90"/>
              <w:right w:type="dxa" w:w="120"/>
            </w:tcMar>
            <w:vAlign w:val="center"/>
          </w:tcPr>
          <w:p>
            <w:pPr>
              <w:spacing w:after="0"/>
              <w:jc w:val="center"/>
            </w:pPr>
            <w:r>
              <w:rPr>
                <w:rFonts w:ascii="Calibri" w:cs="Calibri" w:eastAsia="Calibri" w:hAnsi="Calibri"/>
                <w:b/>
                <w:bCs/>
                <w:color w:val="A6272C"/>
                <w:sz w:val="20"/>
                <w:szCs w:val="20"/>
              </w:rPr>
              <w:t xml:space="preserve">4 / 10</w:t>
            </w:r>
          </w:p>
        </w:tc>
        <w:tc>
          <w:tcPr>
            <w:tcW w:type="dxa" w:w="1800"/>
            <w:shd w:fill="E2F0D9" w:val="clear"/>
            <w:tcMar>
              <w:top w:type="dxa" w:w="90"/>
              <w:left w:type="dxa" w:w="120"/>
              <w:bottom w:type="dxa" w:w="90"/>
              <w:right w:type="dxa" w:w="120"/>
            </w:tcMar>
            <w:vAlign w:val="center"/>
          </w:tcPr>
          <w:p>
            <w:pPr>
              <w:spacing w:after="0"/>
              <w:jc w:val="center"/>
            </w:pPr>
            <w:r>
              <w:rPr>
                <w:rFonts w:ascii="Calibri" w:cs="Calibri" w:eastAsia="Calibri" w:hAnsi="Calibri"/>
                <w:b/>
                <w:bCs/>
                <w:color w:val="375623"/>
                <w:sz w:val="20"/>
                <w:szCs w:val="20"/>
              </w:rPr>
              <w:t xml:space="preserve">8 / 10</w:t>
            </w:r>
          </w:p>
        </w:tc>
        <w:tc>
          <w:tcPr>
            <w:tcW w:type="dxa" w:w="2750"/>
            <w:shd w:fill="FFFFFF" w:val="clear"/>
            <w:tcMar>
              <w:top w:type="dxa" w:w="90"/>
              <w:left w:type="dxa" w:w="120"/>
              <w:bottom w:type="dxa" w:w="90"/>
              <w:right w:type="dxa" w:w="120"/>
            </w:tcMar>
            <w:vAlign w:val="center"/>
          </w:tcPr>
          <w:p>
            <w:pPr>
              <w:spacing w:after="0"/>
              <w:jc w:val="center"/>
            </w:pPr>
            <w:r>
              <w:rPr>
                <w:rFonts w:ascii="Calibri" w:cs="Calibri" w:eastAsia="Calibri" w:hAnsi="Calibri"/>
                <w:b/>
                <w:bCs/>
                <w:color w:val="1F3864"/>
                <w:sz w:val="20"/>
                <w:szCs w:val="20"/>
              </w:rPr>
              <w:t xml:space="preserve">Traditional</w:t>
            </w:r>
          </w:p>
        </w:tc>
      </w:tr>
      <w:tr>
        <w:tc>
          <w:tcPr>
            <w:tcW w:type="dxa" w:w="30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Security Control &amp; Auditability</w:t>
            </w:r>
          </w:p>
        </w:tc>
        <w:tc>
          <w:tcPr>
            <w:tcW w:type="dxa" w:w="1800"/>
            <w:shd w:fill="FFF2CC" w:val="clear"/>
            <w:tcMar>
              <w:top w:type="dxa" w:w="90"/>
              <w:left w:type="dxa" w:w="120"/>
              <w:bottom w:type="dxa" w:w="90"/>
              <w:right w:type="dxa" w:w="120"/>
            </w:tcMar>
            <w:vAlign w:val="center"/>
          </w:tcPr>
          <w:p>
            <w:pPr>
              <w:spacing w:after="0"/>
              <w:jc w:val="center"/>
            </w:pPr>
            <w:r>
              <w:rPr>
                <w:rFonts w:ascii="Calibri" w:cs="Calibri" w:eastAsia="Calibri" w:hAnsi="Calibri"/>
                <w:b/>
                <w:bCs/>
                <w:color w:val="7F6000"/>
                <w:sz w:val="20"/>
                <w:szCs w:val="20"/>
              </w:rPr>
              <w:t xml:space="preserve">5 / 10</w:t>
            </w:r>
          </w:p>
        </w:tc>
        <w:tc>
          <w:tcPr>
            <w:tcW w:type="dxa" w:w="1800"/>
            <w:shd w:fill="E2F0D9" w:val="clear"/>
            <w:tcMar>
              <w:top w:type="dxa" w:w="90"/>
              <w:left w:type="dxa" w:w="120"/>
              <w:bottom w:type="dxa" w:w="90"/>
              <w:right w:type="dxa" w:w="120"/>
            </w:tcMar>
            <w:vAlign w:val="center"/>
          </w:tcPr>
          <w:p>
            <w:pPr>
              <w:spacing w:after="0"/>
              <w:jc w:val="center"/>
            </w:pPr>
            <w:r>
              <w:rPr>
                <w:rFonts w:ascii="Calibri" w:cs="Calibri" w:eastAsia="Calibri" w:hAnsi="Calibri"/>
                <w:b/>
                <w:bCs/>
                <w:color w:val="375623"/>
                <w:sz w:val="20"/>
                <w:szCs w:val="20"/>
              </w:rPr>
              <w:t xml:space="preserve">8 / 10</w:t>
            </w:r>
          </w:p>
        </w:tc>
        <w:tc>
          <w:tcPr>
            <w:tcW w:type="dxa" w:w="2750"/>
            <w:shd w:fill="F2F2F2" w:val="clear"/>
            <w:tcMar>
              <w:top w:type="dxa" w:w="90"/>
              <w:left w:type="dxa" w:w="120"/>
              <w:bottom w:type="dxa" w:w="90"/>
              <w:right w:type="dxa" w:w="120"/>
            </w:tcMar>
            <w:vAlign w:val="center"/>
          </w:tcPr>
          <w:p>
            <w:pPr>
              <w:spacing w:after="0"/>
              <w:jc w:val="center"/>
            </w:pPr>
            <w:r>
              <w:rPr>
                <w:rFonts w:ascii="Calibri" w:cs="Calibri" w:eastAsia="Calibri" w:hAnsi="Calibri"/>
                <w:b/>
                <w:bCs/>
                <w:color w:val="1F3864"/>
                <w:sz w:val="20"/>
                <w:szCs w:val="20"/>
              </w:rPr>
              <w:t xml:space="preserve">Traditional</w:t>
            </w:r>
          </w:p>
        </w:tc>
      </w:tr>
      <w:tr>
        <w:tc>
          <w:tcPr>
            <w:tcW w:type="dxa" w:w="30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Vendor Independence</w:t>
            </w:r>
          </w:p>
        </w:tc>
        <w:tc>
          <w:tcPr>
            <w:tcW w:type="dxa" w:w="1800"/>
            <w:shd w:fill="FBE5E5" w:val="clear"/>
            <w:tcMar>
              <w:top w:type="dxa" w:w="90"/>
              <w:left w:type="dxa" w:w="120"/>
              <w:bottom w:type="dxa" w:w="90"/>
              <w:right w:type="dxa" w:w="120"/>
            </w:tcMar>
            <w:vAlign w:val="center"/>
          </w:tcPr>
          <w:p>
            <w:pPr>
              <w:spacing w:after="0"/>
              <w:jc w:val="center"/>
            </w:pPr>
            <w:r>
              <w:rPr>
                <w:rFonts w:ascii="Calibri" w:cs="Calibri" w:eastAsia="Calibri" w:hAnsi="Calibri"/>
                <w:b/>
                <w:bCs/>
                <w:color w:val="A6272C"/>
                <w:sz w:val="20"/>
                <w:szCs w:val="20"/>
              </w:rPr>
              <w:t xml:space="preserve">3 / 10</w:t>
            </w:r>
          </w:p>
        </w:tc>
        <w:tc>
          <w:tcPr>
            <w:tcW w:type="dxa" w:w="1800"/>
            <w:shd w:fill="E2F0D9" w:val="clear"/>
            <w:tcMar>
              <w:top w:type="dxa" w:w="90"/>
              <w:left w:type="dxa" w:w="120"/>
              <w:bottom w:type="dxa" w:w="90"/>
              <w:right w:type="dxa" w:w="120"/>
            </w:tcMar>
            <w:vAlign w:val="center"/>
          </w:tcPr>
          <w:p>
            <w:pPr>
              <w:spacing w:after="0"/>
              <w:jc w:val="center"/>
            </w:pPr>
            <w:r>
              <w:rPr>
                <w:rFonts w:ascii="Calibri" w:cs="Calibri" w:eastAsia="Calibri" w:hAnsi="Calibri"/>
                <w:b/>
                <w:bCs/>
                <w:color w:val="375623"/>
                <w:sz w:val="20"/>
                <w:szCs w:val="20"/>
              </w:rPr>
              <w:t xml:space="preserve">9 / 10</w:t>
            </w:r>
          </w:p>
        </w:tc>
        <w:tc>
          <w:tcPr>
            <w:tcW w:type="dxa" w:w="2750"/>
            <w:shd w:fill="FFFFFF" w:val="clear"/>
            <w:tcMar>
              <w:top w:type="dxa" w:w="90"/>
              <w:left w:type="dxa" w:w="120"/>
              <w:bottom w:type="dxa" w:w="90"/>
              <w:right w:type="dxa" w:w="120"/>
            </w:tcMar>
            <w:vAlign w:val="center"/>
          </w:tcPr>
          <w:p>
            <w:pPr>
              <w:spacing w:after="0"/>
              <w:jc w:val="center"/>
            </w:pPr>
            <w:r>
              <w:rPr>
                <w:rFonts w:ascii="Calibri" w:cs="Calibri" w:eastAsia="Calibri" w:hAnsi="Calibri"/>
                <w:b/>
                <w:bCs/>
                <w:color w:val="1F3864"/>
                <w:sz w:val="20"/>
                <w:szCs w:val="20"/>
              </w:rPr>
              <w:t xml:space="preserve">Traditional</w:t>
            </w:r>
          </w:p>
        </w:tc>
      </w:tr>
    </w:tbl>
    <w:p>
      <w:pPr>
        <w:spacing w:after="100" w:before="200"/>
      </w:pPr>
      <w:r>
        <w:rPr>
          <w:rFonts w:ascii="Calibri" w:cs="Calibri" w:eastAsia="Calibri" w:hAnsi="Calibri"/>
          <w:b/>
          <w:bCs/>
          <w:color w:val="1F3864"/>
          <w:sz w:val="22"/>
          <w:szCs w:val="22"/>
        </w:rPr>
        <w:t xml:space="preserve">Overall weighted read: </w:t>
      </w:r>
      <w:r>
        <w:rPr>
          <w:rFonts w:ascii="Calibri" w:cs="Calibri" w:eastAsia="Calibri" w:hAnsi="Calibri"/>
          <w:color w:val="222222"/>
          <w:sz w:val="22"/>
          <w:szCs w:val="22"/>
        </w:rPr>
        <w:t xml:space="preserve">Low-code wins decisively on speed, cost-to-launch, and ease of adoption; traditional development wins on control, scale, and long-run flexibility. Eight of eleven dimensions favor traditional development once systems mature past the initial build.</w:t>
      </w:r>
    </w:p>
    <w:p>
      <w:pPr>
        <w:pageBreakBefore/>
      </w:pPr>
    </w:p>
    <w:p>
      <w:pPr>
        <w:pStyle w:val="Heading1"/>
        <w:pBdr>
          <w:bottom w:val="single" w:color="1F3864" w:sz="8" w:space="4"/>
        </w:pBdr>
        <w:spacing w:after="200" w:before="400"/>
      </w:pPr>
      <w:r>
        <w:rPr>
          <w:rFonts w:ascii="Calibri" w:cs="Calibri" w:eastAsia="Calibri" w:hAnsi="Calibri"/>
          <w:b/>
          <w:bCs/>
          <w:color w:val="1F3864"/>
          <w:sz w:val="30"/>
          <w:szCs w:val="30"/>
        </w:rPr>
        <w:t xml:space="preserve">4. Eleven-Dimension Quick Reference</w:t>
      </w:r>
    </w:p>
    <w:p>
      <w:pPr>
        <w:spacing w:after="160" w:line="276"/>
      </w:pPr>
      <w:r>
        <w:rPr>
          <w:rFonts w:ascii="Calibri" w:cs="Calibri" w:eastAsia="Calibri" w:hAnsi="Calibri"/>
          <w:color w:val="222222"/>
          <w:sz w:val="22"/>
          <w:szCs w:val="22"/>
        </w:rPr>
        <w:t xml:space="preserve">A one-line reference for each of the eleven dimensions used throughout this study, for quick lookup during architecture or vendor discussions.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50"/>
        <w:gridCol w:w="3500"/>
      </w:tblGrid>
      <w:tr>
        <w:trPr>
          <w:tblHeader/>
        </w:trPr>
        <w:tc>
          <w:tcPr>
            <w:tcW w:type="dxa" w:w="240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  Dimension</w:t>
            </w:r>
          </w:p>
        </w:tc>
        <w:tc>
          <w:tcPr>
            <w:tcW w:type="dxa" w:w="345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Low-Code Behaviour</w:t>
            </w:r>
          </w:p>
        </w:tc>
        <w:tc>
          <w:tcPr>
            <w:tcW w:type="dxa" w:w="350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Traditional Behaviour</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1. Development Speed</w:t>
            </w:r>
          </w:p>
        </w:tc>
        <w:tc>
          <w:tcPr>
            <w:tcW w:type="dxa" w:w="34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Visual builders and templates cut build time drastically for standard apps</w:t>
            </w:r>
          </w:p>
        </w:tc>
        <w:tc>
          <w:tcPr>
            <w:tcW w:type="dxa" w:w="35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Full control but every layer is written and tested by hand</w:t>
            </w:r>
          </w:p>
        </w:tc>
      </w:tr>
      <w:tr>
        <w:tc>
          <w:tcPr>
            <w:tcW w:type="dxa" w:w="24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2. Cost Structure</w:t>
            </w:r>
          </w:p>
        </w:tc>
        <w:tc>
          <w:tcPr>
            <w:tcW w:type="dxa" w:w="345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Lower dev labor cost, offset by recurring per-user/app licensing</w:t>
            </w:r>
          </w:p>
        </w:tc>
        <w:tc>
          <w:tcPr>
            <w:tcW w:type="dxa" w:w="35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Higher labor cost upfront, no ongoing platform license</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3. Customization &amp; Flexibility</w:t>
            </w:r>
          </w:p>
        </w:tc>
        <w:tc>
          <w:tcPr>
            <w:tcW w:type="dxa" w:w="34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Limited to what the platform and its connectors expose</w:t>
            </w:r>
          </w:p>
        </w:tc>
        <w:tc>
          <w:tcPr>
            <w:tcW w:type="dxa" w:w="35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Virtually unlimited; any logic that can be coded can be built</w:t>
            </w:r>
          </w:p>
        </w:tc>
      </w:tr>
      <w:tr>
        <w:tc>
          <w:tcPr>
            <w:tcW w:type="dxa" w:w="24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4. Scalability</w:t>
            </w:r>
          </w:p>
        </w:tc>
        <w:tc>
          <w:tcPr>
            <w:tcW w:type="dxa" w:w="345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Adequate for departmental load; large-scale use needs validation</w:t>
            </w:r>
          </w:p>
        </w:tc>
        <w:tc>
          <w:tcPr>
            <w:tcW w:type="dxa" w:w="35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Architected explicitly for target scale and load patterns</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5. Maintenance &amp; Technical Debt</w:t>
            </w:r>
          </w:p>
        </w:tc>
        <w:tc>
          <w:tcPr>
            <w:tcW w:type="dxa" w:w="34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Vendor manages runtime upgrades; logic sprawl can be hard to audit</w:t>
            </w:r>
          </w:p>
        </w:tc>
        <w:tc>
          <w:tcPr>
            <w:tcW w:type="dxa" w:w="35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Team owns upgrades fully; debt is visible and directly manageable</w:t>
            </w:r>
          </w:p>
        </w:tc>
      </w:tr>
      <w:tr>
        <w:tc>
          <w:tcPr>
            <w:tcW w:type="dxa" w:w="24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6. Learning Curve</w:t>
            </w:r>
          </w:p>
        </w:tc>
        <w:tc>
          <w:tcPr>
            <w:tcW w:type="dxa" w:w="345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Low barrier; business users productive within days</w:t>
            </w:r>
          </w:p>
        </w:tc>
        <w:tc>
          <w:tcPr>
            <w:tcW w:type="dxa" w:w="35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Requires formal training in languages, frameworks, and tooling</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7. Integration Capability</w:t>
            </w:r>
          </w:p>
        </w:tc>
        <w:tc>
          <w:tcPr>
            <w:tcW w:type="dxa" w:w="34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Strong for common SaaS/APIs via pre-built connectors</w:t>
            </w:r>
          </w:p>
        </w:tc>
        <w:tc>
          <w:tcPr>
            <w:tcW w:type="dxa" w:w="35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Strong for anything, including bespoke or legacy protocols</w:t>
            </w:r>
          </w:p>
        </w:tc>
      </w:tr>
      <w:tr>
        <w:tc>
          <w:tcPr>
            <w:tcW w:type="dxa" w:w="24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8. Security &amp; Compliance</w:t>
            </w:r>
          </w:p>
        </w:tc>
        <w:tc>
          <w:tcPr>
            <w:tcW w:type="dxa" w:w="345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Inherits vendor's security model; less granular control</w:t>
            </w:r>
          </w:p>
        </w:tc>
        <w:tc>
          <w:tcPr>
            <w:tcW w:type="dxa" w:w="35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Full control over encryption, access, and audit trails</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9. Governance &amp; Control</w:t>
            </w:r>
          </w:p>
        </w:tc>
        <w:tc>
          <w:tcPr>
            <w:tcW w:type="dxa" w:w="34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Centralized platform governance; citizen-dev sprawl risk</w:t>
            </w:r>
          </w:p>
        </w:tc>
        <w:tc>
          <w:tcPr>
            <w:tcW w:type="dxa" w:w="35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Governed by engineering standards, code review, and CI/CD</w:t>
            </w:r>
          </w:p>
        </w:tc>
      </w:tr>
      <w:tr>
        <w:tc>
          <w:tcPr>
            <w:tcW w:type="dxa" w:w="24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10. Vendor Lock-in</w:t>
            </w:r>
          </w:p>
        </w:tc>
        <w:tc>
          <w:tcPr>
            <w:tcW w:type="dxa" w:w="345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High: logic, data model, and runtime tied to one vendor</w:t>
            </w:r>
          </w:p>
        </w:tc>
        <w:tc>
          <w:tcPr>
            <w:tcW w:type="dxa" w:w="350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Low: open languages, portable across clouds and vendors</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11. Talent Availability</w:t>
            </w:r>
          </w:p>
        </w:tc>
        <w:tc>
          <w:tcPr>
            <w:tcW w:type="dxa" w:w="34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Growing pool, but platform-specific skills, fewer experts</w:t>
            </w:r>
          </w:p>
        </w:tc>
        <w:tc>
          <w:tcPr>
            <w:tcW w:type="dxa" w:w="350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Large, mature global talent pool across most stacks</w:t>
            </w:r>
          </w:p>
        </w:tc>
      </w:tr>
    </w:tbl>
    <w:p>
      <w:pPr>
        <w:pageBreakBefore/>
      </w:pPr>
    </w:p>
    <w:p>
      <w:pPr>
        <w:pStyle w:val="Heading1"/>
        <w:pBdr>
          <w:bottom w:val="single" w:color="1F3864" w:sz="8" w:space="4"/>
        </w:pBdr>
        <w:spacing w:after="200" w:before="400"/>
      </w:pPr>
      <w:r>
        <w:rPr>
          <w:rFonts w:ascii="Calibri" w:cs="Calibri" w:eastAsia="Calibri" w:hAnsi="Calibri"/>
          <w:b/>
          <w:bCs/>
          <w:color w:val="1F3864"/>
          <w:sz w:val="30"/>
          <w:szCs w:val="30"/>
        </w:rPr>
        <w:t xml:space="preserve">5. Reference Architecture</w:t>
      </w:r>
    </w:p>
    <w:p>
      <w:pPr>
        <w:spacing w:after="160" w:line="276"/>
      </w:pPr>
      <w:r>
        <w:rPr>
          <w:rFonts w:ascii="Calibri" w:cs="Calibri" w:eastAsia="Calibri" w:hAnsi="Calibri"/>
          <w:color w:val="222222"/>
          <w:sz w:val="22"/>
          <w:szCs w:val="22"/>
        </w:rPr>
        <w:t xml:space="preserve">Both approaches can be described as a layered stack. The diagrams below show a typical reference architecture for each, top (user-facing) to bottom (infrastructure).</w:t>
      </w:r>
    </w:p>
    <w:p>
      <w:pPr>
        <w:pStyle w:val="Heading2"/>
        <w:spacing w:after="150" w:before="300"/>
      </w:pPr>
      <w:r>
        <w:rPr>
          <w:rFonts w:ascii="Calibri" w:cs="Calibri" w:eastAsia="Calibri" w:hAnsi="Calibri"/>
          <w:b/>
          <w:bCs/>
          <w:color w:val="0E7C7B"/>
          <w:sz w:val="24"/>
          <w:szCs w:val="24"/>
        </w:rPr>
        <w:t xml:space="preserve">5.1 Low-Code Reference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50"/>
      </w:tblGrid>
      <w:tr>
        <w:tc>
          <w:tcPr>
            <w:tcW w:type="dxa" w:w="240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Layer</w:t>
            </w:r>
          </w:p>
        </w:tc>
        <w:tc>
          <w:tcPr>
            <w:tcW w:type="dxa" w:w="695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What Happens Here</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bCs/>
                <w:color w:val="1F3864"/>
                <w:sz w:val="20"/>
                <w:szCs w:val="20"/>
              </w:rPr>
              <w:t xml:space="preserve">Presentation Layer</w:t>
            </w:r>
          </w:p>
        </w:tc>
        <w:tc>
          <w:tcPr>
            <w:tcW w:type="dxa" w:w="69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Drag-and-drop UI designer → auto-generated responsive web/mobile screens</w:t>
            </w:r>
          </w:p>
        </w:tc>
      </w:tr>
      <w:tr>
        <w:tc>
          <w:tcPr>
            <w:tcW w:type="dxa" w:w="2400"/>
            <w:shd w:fill="F2F2F2" w:val="clear"/>
            <w:tcMar>
              <w:top w:type="dxa" w:w="90"/>
              <w:left w:type="dxa" w:w="120"/>
              <w:bottom w:type="dxa" w:w="90"/>
              <w:right w:type="dxa" w:w="120"/>
            </w:tcMar>
            <w:vAlign w:val="center"/>
          </w:tcPr>
          <w:p>
            <w:pPr>
              <w:spacing w:after="0"/>
              <w:jc w:val="left"/>
            </w:pPr>
            <w:r>
              <w:rPr>
                <w:rFonts w:ascii="Calibri" w:cs="Calibri" w:eastAsia="Calibri" w:hAnsi="Calibri"/>
                <w:b/>
                <w:bCs/>
                <w:color w:val="1F3864"/>
                <w:sz w:val="20"/>
                <w:szCs w:val="20"/>
              </w:rPr>
              <w:t xml:space="preserve">Logic Layer</w:t>
            </w:r>
          </w:p>
        </w:tc>
        <w:tc>
          <w:tcPr>
            <w:tcW w:type="dxa" w:w="695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Visual workflow / business-rule engine (low-code process automation)</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bCs/>
                <w:color w:val="1F3864"/>
                <w:sz w:val="20"/>
                <w:szCs w:val="20"/>
              </w:rPr>
              <w:t xml:space="preserve">Connector Layer</w:t>
            </w:r>
          </w:p>
        </w:tc>
        <w:tc>
          <w:tcPr>
            <w:tcW w:type="dxa" w:w="69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Pre-built connectors to SaaS apps, databases, and REST/SOAP APIs</w:t>
            </w:r>
          </w:p>
        </w:tc>
      </w:tr>
      <w:tr>
        <w:tc>
          <w:tcPr>
            <w:tcW w:type="dxa" w:w="2400"/>
            <w:shd w:fill="F2F2F2" w:val="clear"/>
            <w:tcMar>
              <w:top w:type="dxa" w:w="90"/>
              <w:left w:type="dxa" w:w="120"/>
              <w:bottom w:type="dxa" w:w="90"/>
              <w:right w:type="dxa" w:w="120"/>
            </w:tcMar>
            <w:vAlign w:val="center"/>
          </w:tcPr>
          <w:p>
            <w:pPr>
              <w:spacing w:after="0"/>
              <w:jc w:val="left"/>
            </w:pPr>
            <w:r>
              <w:rPr>
                <w:rFonts w:ascii="Calibri" w:cs="Calibri" w:eastAsia="Calibri" w:hAnsi="Calibri"/>
                <w:b/>
                <w:bCs/>
                <w:color w:val="1F3864"/>
                <w:sz w:val="20"/>
                <w:szCs w:val="20"/>
              </w:rPr>
              <w:t xml:space="preserve">Data Layer</w:t>
            </w:r>
          </w:p>
        </w:tc>
        <w:tc>
          <w:tcPr>
            <w:tcW w:type="dxa" w:w="695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Platform-managed data model, or connection to external data sources</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bCs/>
                <w:color w:val="1F3864"/>
                <w:sz w:val="20"/>
                <w:szCs w:val="20"/>
              </w:rPr>
              <w:t xml:space="preserve">Runtime &amp; Hosting Layer</w:t>
            </w:r>
          </w:p>
        </w:tc>
        <w:tc>
          <w:tcPr>
            <w:tcW w:type="dxa" w:w="69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Vendor-managed cloud runtime, scaling, patching, and updates</w:t>
            </w:r>
          </w:p>
        </w:tc>
      </w:tr>
    </w:tbl>
    <w:p>
      <w:pPr>
        <w:spacing w:after="160" w:line="276"/>
      </w:pPr>
      <w:r>
        <w:rPr>
          <w:rFonts w:ascii="Calibri" w:cs="Calibri" w:eastAsia="Calibri" w:hAnsi="Calibri"/>
          <w:i/>
          <w:iCs/>
          <w:color w:val="0E7C7B"/>
          <w:sz w:val="22"/>
          <w:szCs w:val="22"/>
        </w:rPr>
        <w:t xml:space="preserve">Flow: User → Presentation Layer → Logic Layer → Connector Layer → Data Layer → Runtime &amp; Hosting (all within the vendor platform boundary).</w:t>
      </w:r>
    </w:p>
    <w:p>
      <w:pPr>
        <w:pStyle w:val="Heading2"/>
        <w:spacing w:after="150" w:before="300"/>
      </w:pPr>
      <w:r>
        <w:rPr>
          <w:rFonts w:ascii="Calibri" w:cs="Calibri" w:eastAsia="Calibri" w:hAnsi="Calibri"/>
          <w:b/>
          <w:bCs/>
          <w:color w:val="0E7C7B"/>
          <w:sz w:val="24"/>
          <w:szCs w:val="24"/>
        </w:rPr>
        <w:t xml:space="preserve">5.2 Traditional Reference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50"/>
      </w:tblGrid>
      <w:tr>
        <w:tc>
          <w:tcPr>
            <w:tcW w:type="dxa" w:w="240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Layer</w:t>
            </w:r>
          </w:p>
        </w:tc>
        <w:tc>
          <w:tcPr>
            <w:tcW w:type="dxa" w:w="6950"/>
            <w:shd w:fill="1F3864"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20"/>
                <w:szCs w:val="20"/>
              </w:rPr>
              <w:t xml:space="preserve">What Happens Here</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bCs/>
                <w:color w:val="1F3864"/>
                <w:sz w:val="20"/>
                <w:szCs w:val="20"/>
              </w:rPr>
              <w:t xml:space="preserve">Presentation / Client Layer</w:t>
            </w:r>
          </w:p>
        </w:tc>
        <w:tc>
          <w:tcPr>
            <w:tcW w:type="dxa" w:w="69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Custom front-end (React, Angular, native mobile) built and styled by engineers</w:t>
            </w:r>
          </w:p>
        </w:tc>
      </w:tr>
      <w:tr>
        <w:tc>
          <w:tcPr>
            <w:tcW w:type="dxa" w:w="2400"/>
            <w:shd w:fill="F2F2F2" w:val="clear"/>
            <w:tcMar>
              <w:top w:type="dxa" w:w="90"/>
              <w:left w:type="dxa" w:w="120"/>
              <w:bottom w:type="dxa" w:w="90"/>
              <w:right w:type="dxa" w:w="120"/>
            </w:tcMar>
            <w:vAlign w:val="center"/>
          </w:tcPr>
          <w:p>
            <w:pPr>
              <w:spacing w:after="0"/>
              <w:jc w:val="left"/>
            </w:pPr>
            <w:r>
              <w:rPr>
                <w:rFonts w:ascii="Calibri" w:cs="Calibri" w:eastAsia="Calibri" w:hAnsi="Calibri"/>
                <w:b/>
                <w:bCs/>
                <w:color w:val="1F3864"/>
                <w:sz w:val="20"/>
                <w:szCs w:val="20"/>
              </w:rPr>
              <w:t xml:space="preserve">API / Service Layer</w:t>
            </w:r>
          </w:p>
        </w:tc>
        <w:tc>
          <w:tcPr>
            <w:tcW w:type="dxa" w:w="695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RESTful or GraphQL APIs, microservices, or a modular monolith</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bCs/>
                <w:color w:val="1F3864"/>
                <w:sz w:val="20"/>
                <w:szCs w:val="20"/>
              </w:rPr>
              <w:t xml:space="preserve">Business Logic Layer</w:t>
            </w:r>
          </w:p>
        </w:tc>
        <w:tc>
          <w:tcPr>
            <w:tcW w:type="dxa" w:w="69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Domain logic, validation, and workflow written in code (Java, C#, Python, Node)</w:t>
            </w:r>
          </w:p>
        </w:tc>
      </w:tr>
      <w:tr>
        <w:tc>
          <w:tcPr>
            <w:tcW w:type="dxa" w:w="2400"/>
            <w:shd w:fill="F2F2F2" w:val="clear"/>
            <w:tcMar>
              <w:top w:type="dxa" w:w="90"/>
              <w:left w:type="dxa" w:w="120"/>
              <w:bottom w:type="dxa" w:w="90"/>
              <w:right w:type="dxa" w:w="120"/>
            </w:tcMar>
            <w:vAlign w:val="center"/>
          </w:tcPr>
          <w:p>
            <w:pPr>
              <w:spacing w:after="0"/>
              <w:jc w:val="left"/>
            </w:pPr>
            <w:r>
              <w:rPr>
                <w:rFonts w:ascii="Calibri" w:cs="Calibri" w:eastAsia="Calibri" w:hAnsi="Calibri"/>
                <w:b/>
                <w:bCs/>
                <w:color w:val="1F3864"/>
                <w:sz w:val="20"/>
                <w:szCs w:val="20"/>
              </w:rPr>
              <w:t xml:space="preserve">Data Access Layer</w:t>
            </w:r>
          </w:p>
        </w:tc>
        <w:tc>
          <w:tcPr>
            <w:tcW w:type="dxa" w:w="6950"/>
            <w:shd w:fill="F2F2F2"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ORMs / query layers governing access to relational or NoSQL data stores</w:t>
            </w:r>
          </w:p>
        </w:tc>
      </w:tr>
      <w:tr>
        <w:tc>
          <w:tcPr>
            <w:tcW w:type="dxa" w:w="2400"/>
            <w:shd w:fill="FFFFFF" w:val="clear"/>
            <w:tcMar>
              <w:top w:type="dxa" w:w="90"/>
              <w:left w:type="dxa" w:w="120"/>
              <w:bottom w:type="dxa" w:w="90"/>
              <w:right w:type="dxa" w:w="120"/>
            </w:tcMar>
            <w:vAlign w:val="center"/>
          </w:tcPr>
          <w:p>
            <w:pPr>
              <w:spacing w:after="0"/>
              <w:jc w:val="left"/>
            </w:pPr>
            <w:r>
              <w:rPr>
                <w:rFonts w:ascii="Calibri" w:cs="Calibri" w:eastAsia="Calibri" w:hAnsi="Calibri"/>
                <w:b/>
                <w:bCs/>
                <w:color w:val="1F3864"/>
                <w:sz w:val="20"/>
                <w:szCs w:val="20"/>
              </w:rPr>
              <w:t xml:space="preserve">Infrastructure &amp; DevOps Layer</w:t>
            </w:r>
          </w:p>
        </w:tc>
        <w:tc>
          <w:tcPr>
            <w:tcW w:type="dxa" w:w="6950"/>
            <w:shd w:fill="FFFFFF" w:val="clear"/>
            <w:tcMar>
              <w:top w:type="dxa" w:w="90"/>
              <w:left w:type="dxa" w:w="120"/>
              <w:bottom w:type="dxa" w:w="90"/>
              <w:right w:type="dxa" w:w="120"/>
            </w:tcMar>
            <w:vAlign w:val="center"/>
          </w:tcPr>
          <w:p>
            <w:pPr>
              <w:spacing w:after="0"/>
              <w:jc w:val="left"/>
            </w:pPr>
            <w:r>
              <w:rPr>
                <w:rFonts w:ascii="Calibri" w:cs="Calibri" w:eastAsia="Calibri" w:hAnsi="Calibri"/>
                <w:b w:val="false"/>
                <w:bCs w:val="false"/>
                <w:color w:val="222222"/>
                <w:sz w:val="20"/>
                <w:szCs w:val="20"/>
              </w:rPr>
              <w:t xml:space="preserve">CI/CD pipelines, containers/Kubernetes, IaC, monitoring — team-owned</w:t>
            </w:r>
          </w:p>
        </w:tc>
      </w:tr>
    </w:tbl>
    <w:p>
      <w:pPr>
        <w:spacing w:after="160" w:line="276"/>
      </w:pPr>
      <w:r>
        <w:rPr>
          <w:rFonts w:ascii="Calibri" w:cs="Calibri" w:eastAsia="Calibri" w:hAnsi="Calibri"/>
          <w:i/>
          <w:iCs/>
          <w:color w:val="0E7C7B"/>
          <w:sz w:val="22"/>
          <w:szCs w:val="22"/>
        </w:rPr>
        <w:t xml:space="preserve">Flow: Client → API/Service Layer → Business Logic Layer → Data Access Layer → Infrastructure (each layer independently owned, versioned, and deployed by the engineering team).</w:t>
      </w:r>
    </w:p>
    <w:p>
      <w:pPr>
        <w:pageBreakBefore/>
      </w:pPr>
    </w:p>
    <w:p>
      <w:pPr>
        <w:pStyle w:val="Heading1"/>
        <w:pBdr>
          <w:bottom w:val="single" w:color="1F3864" w:sz="8" w:space="4"/>
        </w:pBdr>
        <w:spacing w:after="200" w:before="400"/>
      </w:pPr>
      <w:r>
        <w:rPr>
          <w:rFonts w:ascii="Calibri" w:cs="Calibri" w:eastAsia="Calibri" w:hAnsi="Calibri"/>
          <w:b/>
          <w:bCs/>
          <w:color w:val="1F3864"/>
          <w:sz w:val="30"/>
          <w:szCs w:val="30"/>
        </w:rPr>
        <w:t xml:space="preserve">6. Recommendation</w:t>
      </w:r>
    </w:p>
    <w:p>
      <w:pPr>
        <w:spacing w:after="160" w:line="276"/>
      </w:pPr>
      <w:r>
        <w:rPr>
          <w:rFonts w:ascii="Calibri" w:cs="Calibri" w:eastAsia="Calibri" w:hAnsi="Calibri"/>
          <w:color w:val="222222"/>
          <w:sz w:val="22"/>
          <w:szCs w:val="22"/>
        </w:rPr>
        <w:t xml:space="preserve">The decision should be driven by workload type rather than platform preference. The following guidance reflects where each approach consistently performs best:</w:t>
      </w:r>
    </w:p>
    <w:p>
      <w:pPr>
        <w:pStyle w:val="Heading2"/>
        <w:spacing w:after="150" w:before="300"/>
      </w:pPr>
      <w:r>
        <w:rPr>
          <w:rFonts w:ascii="Calibri" w:cs="Calibri" w:eastAsia="Calibri" w:hAnsi="Calibri"/>
          <w:b/>
          <w:bCs/>
          <w:color w:val="0E7C7B"/>
          <w:sz w:val="24"/>
          <w:szCs w:val="24"/>
        </w:rPr>
        <w:t xml:space="preserve">Choose Low-Code when:</w:t>
      </w:r>
    </w:p>
    <w:p>
      <w:pPr>
        <w:pStyle w:val="ListParagraph"/>
        <w:numPr>
          <w:ilvl w:val="0"/>
          <w:numId w:val="1"/>
        </w:numPr>
        <w:spacing w:after="80"/>
      </w:pPr>
      <w:r>
        <w:rPr>
          <w:rFonts w:ascii="Calibri" w:cs="Calibri" w:eastAsia="Calibri" w:hAnsi="Calibri"/>
          <w:color w:val="222222"/>
          <w:sz w:val="22"/>
          <w:szCs w:val="22"/>
        </w:rPr>
        <w:t xml:space="preserve">The application is an internal tool, workflow, form, or dashboard with modest scale needs</w:t>
      </w:r>
    </w:p>
    <w:p>
      <w:pPr>
        <w:pStyle w:val="ListParagraph"/>
        <w:numPr>
          <w:ilvl w:val="0"/>
          <w:numId w:val="1"/>
        </w:numPr>
        <w:spacing w:after="80"/>
      </w:pPr>
      <w:r>
        <w:rPr>
          <w:rFonts w:ascii="Calibri" w:cs="Calibri" w:eastAsia="Calibri" w:hAnsi="Calibri"/>
          <w:color w:val="222222"/>
          <w:sz w:val="22"/>
          <w:szCs w:val="22"/>
        </w:rPr>
        <w:t xml:space="preserve">Speed to deliver value matters more than deep customization</w:t>
      </w:r>
    </w:p>
    <w:p>
      <w:pPr>
        <w:pStyle w:val="ListParagraph"/>
        <w:numPr>
          <w:ilvl w:val="0"/>
          <w:numId w:val="1"/>
        </w:numPr>
        <w:spacing w:after="80"/>
      </w:pPr>
      <w:r>
        <w:rPr>
          <w:rFonts w:ascii="Calibri" w:cs="Calibri" w:eastAsia="Calibri" w:hAnsi="Calibri"/>
          <w:color w:val="222222"/>
          <w:sz w:val="22"/>
          <w:szCs w:val="22"/>
        </w:rPr>
        <w:t xml:space="preserve">The team has limited engineering capacity but strong business-process knowledge</w:t>
      </w:r>
    </w:p>
    <w:p>
      <w:pPr>
        <w:pStyle w:val="ListParagraph"/>
        <w:numPr>
          <w:ilvl w:val="0"/>
          <w:numId w:val="1"/>
        </w:numPr>
        <w:spacing w:after="80"/>
      </w:pPr>
      <w:r>
        <w:rPr>
          <w:rFonts w:ascii="Calibri" w:cs="Calibri" w:eastAsia="Calibri" w:hAnsi="Calibri"/>
          <w:color w:val="222222"/>
          <w:sz w:val="22"/>
          <w:szCs w:val="22"/>
        </w:rPr>
        <w:t xml:space="preserve">The use case maps cleanly onto the platform's existing connectors and templates</w:t>
      </w:r>
    </w:p>
    <w:p>
      <w:pPr>
        <w:pStyle w:val="ListParagraph"/>
        <w:numPr>
          <w:ilvl w:val="0"/>
          <w:numId w:val="1"/>
        </w:numPr>
        <w:spacing w:after="80"/>
      </w:pPr>
      <w:r>
        <w:rPr>
          <w:rFonts w:ascii="Calibri" w:cs="Calibri" w:eastAsia="Calibri" w:hAnsi="Calibri"/>
          <w:color w:val="222222"/>
          <w:sz w:val="22"/>
          <w:szCs w:val="22"/>
        </w:rPr>
        <w:t xml:space="preserve">The application's expected lifespan is short-to-medium and low switching-cost risk is acceptable</w:t>
      </w:r>
    </w:p>
    <w:p>
      <w:pPr>
        <w:pStyle w:val="Heading2"/>
        <w:spacing w:after="150" w:before="300"/>
      </w:pPr>
      <w:r>
        <w:rPr>
          <w:rFonts w:ascii="Calibri" w:cs="Calibri" w:eastAsia="Calibri" w:hAnsi="Calibri"/>
          <w:b/>
          <w:bCs/>
          <w:color w:val="0E7C7B"/>
          <w:sz w:val="24"/>
          <w:szCs w:val="24"/>
        </w:rPr>
        <w:t xml:space="preserve">Choose Traditional Development when:</w:t>
      </w:r>
    </w:p>
    <w:p>
      <w:pPr>
        <w:pStyle w:val="ListParagraph"/>
        <w:numPr>
          <w:ilvl w:val="0"/>
          <w:numId w:val="1"/>
        </w:numPr>
        <w:spacing w:after="80"/>
      </w:pPr>
      <w:r>
        <w:rPr>
          <w:rFonts w:ascii="Calibri" w:cs="Calibri" w:eastAsia="Calibri" w:hAnsi="Calibri"/>
          <w:color w:val="222222"/>
          <w:sz w:val="22"/>
          <w:szCs w:val="22"/>
        </w:rPr>
        <w:t xml:space="preserve">The system is a core, revenue-generating, or customer-facing product</w:t>
      </w:r>
    </w:p>
    <w:p>
      <w:pPr>
        <w:pStyle w:val="ListParagraph"/>
        <w:numPr>
          <w:ilvl w:val="0"/>
          <w:numId w:val="1"/>
        </w:numPr>
        <w:spacing w:after="80"/>
      </w:pPr>
      <w:r>
        <w:rPr>
          <w:rFonts w:ascii="Calibri" w:cs="Calibri" w:eastAsia="Calibri" w:hAnsi="Calibri"/>
          <w:color w:val="222222"/>
          <w:sz w:val="22"/>
          <w:szCs w:val="22"/>
        </w:rPr>
        <w:t xml:space="preserve">Performance, scale, or highly specific UX requirements are non-negotiable</w:t>
      </w:r>
    </w:p>
    <w:p>
      <w:pPr>
        <w:pStyle w:val="ListParagraph"/>
        <w:numPr>
          <w:ilvl w:val="0"/>
          <w:numId w:val="1"/>
        </w:numPr>
        <w:spacing w:after="80"/>
      </w:pPr>
      <w:r>
        <w:rPr>
          <w:rFonts w:ascii="Calibri" w:cs="Calibri" w:eastAsia="Calibri" w:hAnsi="Calibri"/>
          <w:color w:val="222222"/>
          <w:sz w:val="22"/>
          <w:szCs w:val="22"/>
        </w:rPr>
        <w:t xml:space="preserve">Deep integration with legacy or proprietary systems is required</w:t>
      </w:r>
    </w:p>
    <w:p>
      <w:pPr>
        <w:pStyle w:val="ListParagraph"/>
        <w:numPr>
          <w:ilvl w:val="0"/>
          <w:numId w:val="1"/>
        </w:numPr>
        <w:spacing w:after="80"/>
      </w:pPr>
      <w:r>
        <w:rPr>
          <w:rFonts w:ascii="Calibri" w:cs="Calibri" w:eastAsia="Calibri" w:hAnsi="Calibri"/>
          <w:color w:val="222222"/>
          <w:sz w:val="22"/>
          <w:szCs w:val="22"/>
        </w:rPr>
        <w:t xml:space="preserve">Regulatory, security, or audit requirements demand full control over the stack</w:t>
      </w:r>
    </w:p>
    <w:p>
      <w:pPr>
        <w:pStyle w:val="ListParagraph"/>
        <w:numPr>
          <w:ilvl w:val="0"/>
          <w:numId w:val="1"/>
        </w:numPr>
        <w:spacing w:after="80"/>
      </w:pPr>
      <w:r>
        <w:rPr>
          <w:rFonts w:ascii="Calibri" w:cs="Calibri" w:eastAsia="Calibri" w:hAnsi="Calibri"/>
          <w:color w:val="222222"/>
          <w:sz w:val="22"/>
          <w:szCs w:val="22"/>
        </w:rPr>
        <w:t xml:space="preserve">Long-term vendor independence and code ownership are strategic priorities</w:t>
      </w:r>
    </w:p>
    <w:p>
      <w:pPr>
        <w:pStyle w:val="Heading2"/>
        <w:spacing w:after="150" w:before="300"/>
      </w:pPr>
      <w:r>
        <w:rPr>
          <w:rFonts w:ascii="Calibri" w:cs="Calibri" w:eastAsia="Calibri" w:hAnsi="Calibri"/>
          <w:b/>
          <w:bCs/>
          <w:color w:val="0E7C7B"/>
          <w:sz w:val="24"/>
          <w:szCs w:val="24"/>
        </w:rPr>
        <w:t xml:space="preserve">A Hybrid Path</w:t>
      </w:r>
    </w:p>
    <w:p>
      <w:pPr>
        <w:spacing w:after="160" w:line="276"/>
      </w:pPr>
      <w:r>
        <w:rPr>
          <w:rFonts w:ascii="Calibri" w:cs="Calibri" w:eastAsia="Calibri" w:hAnsi="Calibri"/>
          <w:color w:val="222222"/>
          <w:sz w:val="22"/>
          <w:szCs w:val="22"/>
        </w:rPr>
        <w:t xml:space="preserve">Many mature organizations run both in parallel: low-code platforms for internal, departmental, and rapid-prototype applications, and traditional development for core products and systems of record. This hybrid model captures low-code's speed advantage without exposing mission-critical systems to platform limitations or vendor lock-in.</w:t>
      </w:r>
    </w:p>
    <w:p>
      <w:pPr>
        <w:pStyle w:val="Heading1"/>
        <w:pBdr>
          <w:bottom w:val="single" w:color="1F3864" w:sz="8" w:space="4"/>
        </w:pBdr>
        <w:spacing w:after="200" w:before="400"/>
      </w:pPr>
      <w:r>
        <w:rPr>
          <w:rFonts w:ascii="Calibri" w:cs="Calibri" w:eastAsia="Calibri" w:hAnsi="Calibri"/>
          <w:b/>
          <w:bCs/>
          <w:color w:val="1F3864"/>
          <w:sz w:val="30"/>
          <w:szCs w:val="30"/>
        </w:rPr>
        <w:t xml:space="preserve">7. Bottom 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50"/>
      </w:tblGrid>
      <w:tr>
        <w:tc>
          <w:tcPr>
            <w:tcW w:type="dxa" w:w="9350"/>
            <w:shd w:fill="DCE6F1" w:val="clear"/>
            <w:tcMar>
              <w:top w:type="dxa" w:w="200"/>
              <w:left w:type="dxa" w:w="200"/>
              <w:bottom w:type="dxa" w:w="200"/>
              <w:right w:type="dxa" w:w="200"/>
            </w:tcMar>
          </w:tcPr>
          <w:p>
            <w:pPr>
              <w:spacing w:line="300"/>
            </w:pPr>
            <w:r>
              <w:rPr>
                <w:rFonts w:ascii="Calibri" w:cs="Calibri" w:eastAsia="Calibri" w:hAnsi="Calibri"/>
                <w:b/>
                <w:bCs/>
                <w:color w:val="1F3864"/>
                <w:sz w:val="22"/>
                <w:szCs w:val="22"/>
              </w:rPr>
              <w:t xml:space="preserve">Low-code wins on speed and accessibility; traditional development wins on control, scale, and longevity. Use low-code to move fast on low-risk, well-bounded applications, and traditional development for anything that is core to the business, must scale significantly, or must remain fully under your organization's control. The two approaches are complementary, not competing — the strongest technology strategies deploy both, deliberately, based on the risk and criticality of each workload.</w:t>
            </w:r>
          </w:p>
        </w:tc>
      </w:tr>
    </w:tbl>
    <w:p>
      <w:pPr>
        <w:spacing w:before="400"/>
      </w:pPr>
      <w:r>
        <w:rPr>
          <w:rFonts w:ascii="Calibri" w:cs="Calibri" w:eastAsia="Calibri" w:hAnsi="Calibri"/>
          <w:i/>
          <w:iCs/>
          <w:color w:val="808080"/>
          <w:sz w:val="20"/>
          <w:szCs w:val="20"/>
        </w:rPr>
        <w:t xml:space="preserve">— End of Report —</w:t>
      </w:r>
    </w:p>
    <w:sectPr>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2026-07-27T08:28:53.322Z</dcterms:created>
  <dcterms:modified xsi:type="dcterms:W3CDTF">2026-07-27T08:28:53.340Z</dcterms:modified>
</cp:coreProperties>
</file>

<file path=docProps/custom.xml><?xml version="1.0" encoding="utf-8"?>
<Properties xmlns="http://schemas.openxmlformats.org/officeDocument/2006/custom-properties" xmlns:vt="http://schemas.openxmlformats.org/officeDocument/2006/docPropsVTypes"/>
</file>