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Production n8n Workflow — Exercises 1–4</w:t>
      </w:r>
    </w:p>
    <w:p>
      <w:r>
        <w:t>Questions and Answers | Architecture • Ingestion • Billing • Documentation</w:t>
      </w:r>
    </w:p>
    <w:p>
      <w:pPr>
        <w:pStyle w:val="Heading1"/>
      </w:pPr>
      <w:r>
        <w:t>Exercise 1 — Production Architecture and Environment</w:t>
      </w:r>
    </w:p>
    <w:p>
      <w:pPr>
        <w:pStyle w:val="Heading2"/>
      </w:pPr>
      <w:r>
        <w:t>Q1. How should the production workflow architecture be designed?</w:t>
      </w:r>
    </w:p>
    <w:p>
      <w:pPr/>
      <w:r>
        <w:t>Answer: Separate four logical layers: (1) Trigger — receive transaction events through a POST webhook; (2) Processing — validate inputs, atomically reserve the event ID, and execute billing; (3) Recovery — retry transient failures and escalate unrecoverable errors; (4) Notification — send operational alerts through Slack or email. Use a separate background worker for asynchronous billing.</w:t>
      </w:r>
    </w:p>
    <w:p>
      <w:pPr>
        <w:pStyle w:val="Heading2"/>
      </w:pPr>
      <w:r>
        <w:t>Q2. Which production environment settings must be reviewed?</w:t>
      </w:r>
    </w:p>
    <w:p>
      <w:pPr/>
      <w:r>
        <w:t>Answer: PostgreSQL persistence, database backup/restore, execution-data pruning, disk capacity, log retention, credentials encryption, monitoring, and error-workflow assignment. Example n8n settings: DB_TYPE=postgresdb, EXECUTIONS_DATA_PRUNE=true, EXECUTIONS_DATA_MAX_AGE=168 (hours). Actual deployment values must be verified with the administrator.</w:t>
      </w:r>
    </w:p>
    <w:p>
      <w:pPr>
        <w:pStyle w:val="Heading2"/>
      </w:pPr>
      <w:r>
        <w:t>Q3. Who owns the components and what are the dependencies?</w:t>
      </w:r>
    </w:p>
    <w:p>
      <w:pPr/>
      <w:r>
        <w:t>Answer: Suggested roles: Automation Developer owns workflow logic; Database Administrator owns PostgreSQL; DevOps owns hosting, backups, and monitoring; Support owns alert response. Dependencies include n8n, PostgreSQL/Redis, Billing API, and Slack/email credentials. Assign named owners before deployment.</w:t>
      </w:r>
    </w:p>
    <w:p>
      <w:pPr>
        <w:pStyle w:val="Heading1"/>
      </w:pPr>
      <w:r>
        <w:t>Exercise 2 — Webhook, Validation, and Idempotency</w:t>
      </w:r>
    </w:p>
    <w:p>
      <w:pPr>
        <w:pStyle w:val="Heading2"/>
      </w:pPr>
      <w:r>
        <w:t>Q4. How is the webhook configured?</w:t>
      </w:r>
    </w:p>
    <w:p>
      <w:pPr/>
      <w:r>
        <w:t>Answer: Configure a Webhook node with POST and path v1/transactions. To return 202 for accepted requests and 400/409 for rejected requests, set response mode to “Using Respond to Webhook Node,” not “Immediately.” Persist the event before returning 202; process it in a separate worker.</w:t>
      </w:r>
    </w:p>
    <w:p>
      <w:pPr>
        <w:pStyle w:val="Heading2"/>
      </w:pPr>
      <w:r>
        <w:t>Q5. Which fields must be validated?</w:t>
      </w:r>
    </w:p>
    <w:p>
      <w:pPr/>
      <w:r>
        <w:t>Answer: eventId and userId must be nonempty strings; email must match a reasonable email-format pattern; transactionAmount must be a finite numeric value greater than zero. Reject invalid requests with HTTP 400 and do not reserve their event IDs.</w:t>
      </w:r>
    </w:p>
    <w:p>
      <w:pPr>
        <w:pStyle w:val="Heading2"/>
      </w:pPr>
      <w:r>
        <w:t>Q6. How are duplicate events prevented?</w:t>
      </w:r>
    </w:p>
    <w:p>
      <w:pPr/>
      <w:r>
        <w:t>Answer: Use a persistent atomic reservation. PostgreSQL example: CREATE TABLE processed_events (event_id TEXT PRIMARY KEY, status TEXT NOT NULL DEFAULT 'pending'); INSERT INTO processed_events(event_id) VALUES ($1) ON CONFLICT DO NOTHING RETURNING event_id. If no row is returned, reject the duplicate with HTTP 409 or safely terminate. Do not rely on an in-memory JavaScript Set.</w:t>
      </w:r>
    </w:p>
    <w:p>
      <w:pPr>
        <w:pStyle w:val="Heading2"/>
      </w:pPr>
      <w:r>
        <w:t>Q7. What does asynchronous processing mean here?</w:t>
      </w:r>
    </w:p>
    <w:p>
      <w:pPr/>
      <w:r>
        <w:t>Answer: The ingestion workflow validates and durably stores the event, then responds 202 Accepted. A separate scheduled or queue-backed worker claims pending events, calls the Billing API, and records completed/failed status. Returning 202 alone does not make later nodes asynchronous.</w:t>
      </w:r>
    </w:p>
    <w:p>
      <w:pPr>
        <w:pStyle w:val="Heading2"/>
      </w:pPr>
      <w:r>
        <w:t>Node Configuration Reference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ID</w:t>
            </w:r>
          </w:p>
        </w:tc>
        <w:tc>
          <w:tcPr>
            <w:tcW w:type="dxa" w:w="2880"/>
          </w:tcPr>
          <w:p>
            <w:r>
              <w:t>Node</w:t>
            </w:r>
          </w:p>
        </w:tc>
        <w:tc>
          <w:tcPr>
            <w:tcW w:type="dxa" w:w="2880"/>
          </w:tcPr>
          <w:p>
            <w:r>
              <w:t>Key requirement</w:t>
            </w:r>
          </w:p>
        </w:tc>
      </w:tr>
      <w:tr>
        <w:tc>
          <w:tcPr>
            <w:tcW w:type="dxa" w:w="2880"/>
          </w:tcPr>
          <w:p>
            <w:r>
              <w:t>001</w:t>
            </w:r>
          </w:p>
        </w:tc>
        <w:tc>
          <w:tcPr>
            <w:tcW w:type="dxa" w:w="2880"/>
          </w:tcPr>
          <w:p>
            <w:r>
              <w:t>Webhook_Ingest</w:t>
            </w:r>
          </w:p>
        </w:tc>
        <w:tc>
          <w:tcPr>
            <w:tcW w:type="dxa" w:w="2880"/>
          </w:tcPr>
          <w:p>
            <w:r>
              <w:t>POST /v1/transactions; dynamic response needed for 202/400/409</w:t>
            </w:r>
          </w:p>
        </w:tc>
      </w:tr>
      <w:tr>
        <w:tc>
          <w:tcPr>
            <w:tcW w:type="dxa" w:w="2880"/>
          </w:tcPr>
          <w:p>
            <w:r>
              <w:t>002</w:t>
            </w:r>
          </w:p>
        </w:tc>
        <w:tc>
          <w:tcPr>
            <w:tcW w:type="dxa" w:w="2880"/>
          </w:tcPr>
          <w:p>
            <w:r>
              <w:t>Verify_Idempotency</w:t>
            </w:r>
          </w:p>
        </w:tc>
        <w:tc>
          <w:tcPr>
            <w:tcW w:type="dxa" w:w="2880"/>
          </w:tcPr>
          <w:p>
            <w:r>
              <w:t>Atomic PostgreSQL/Redis check by eventId</w:t>
            </w:r>
          </w:p>
        </w:tc>
      </w:tr>
      <w:tr>
        <w:tc>
          <w:tcPr>
            <w:tcW w:type="dxa" w:w="2880"/>
          </w:tcPr>
          <w:p>
            <w:r>
              <w:t>003</w:t>
            </w:r>
          </w:p>
        </w:tc>
        <w:tc>
          <w:tcPr>
            <w:tcW w:type="dxa" w:w="2880"/>
          </w:tcPr>
          <w:p>
            <w:r>
              <w:t>Validate_Inputs</w:t>
            </w:r>
          </w:p>
        </w:tc>
        <w:tc>
          <w:tcPr>
            <w:tcW w:type="dxa" w:w="2880"/>
          </w:tcPr>
          <w:p>
            <w:r>
              <w:t>Email regex, amount &gt; 0, required userId/eventId</w:t>
            </w:r>
          </w:p>
        </w:tc>
      </w:tr>
      <w:tr>
        <w:tc>
          <w:tcPr>
            <w:tcW w:type="dxa" w:w="2880"/>
          </w:tcPr>
          <w:p>
            <w:r>
              <w:t>004</w:t>
            </w:r>
          </w:p>
        </w:tc>
        <w:tc>
          <w:tcPr>
            <w:tcW w:type="dxa" w:w="2880"/>
          </w:tcPr>
          <w:p>
            <w:r>
              <w:t>Post_To_Billing</w:t>
            </w:r>
          </w:p>
        </w:tc>
        <w:tc>
          <w:tcPr>
            <w:tcW w:type="dxa" w:w="2880"/>
          </w:tcPr>
          <w:p>
            <w:r>
              <w:t>Credential Manager; amount expression</w:t>
            </w:r>
          </w:p>
        </w:tc>
      </w:tr>
      <w:tr>
        <w:tc>
          <w:tcPr>
            <w:tcW w:type="dxa" w:w="2880"/>
          </w:tcPr>
          <w:p>
            <w:r>
              <w:t>005</w:t>
            </w:r>
          </w:p>
        </w:tc>
        <w:tc>
          <w:tcPr>
            <w:tcW w:type="dxa" w:w="2880"/>
          </w:tcPr>
          <w:p>
            <w:r>
              <w:t>Error_Trigger</w:t>
            </w:r>
          </w:p>
        </w:tc>
        <w:tc>
          <w:tcPr>
            <w:tcW w:type="dxa" w:w="2880"/>
          </w:tcPr>
          <w:p>
            <w:r>
              <w:t>Separate configured error workflow</w:t>
            </w:r>
          </w:p>
        </w:tc>
      </w:tr>
      <w:tr>
        <w:tc>
          <w:tcPr>
            <w:tcW w:type="dxa" w:w="2880"/>
          </w:tcPr>
          <w:p>
            <w:r>
              <w:t>006</w:t>
            </w:r>
          </w:p>
        </w:tc>
        <w:tc>
          <w:tcPr>
            <w:tcW w:type="dxa" w:w="2880"/>
          </w:tcPr>
          <w:p>
            <w:r>
              <w:t>Construct_Slack_Alert</w:t>
            </w:r>
          </w:p>
        </w:tc>
        <w:tc>
          <w:tcPr>
            <w:tcW w:type="dxa" w:w="2880"/>
          </w:tcPr>
          <w:p>
            <w:r>
              <w:t>Build message with execution error details</w:t>
            </w:r>
          </w:p>
        </w:tc>
      </w:tr>
    </w:tbl>
    <w:p/>
    <w:p>
      <w:pPr>
        <w:pStyle w:val="Heading1"/>
      </w:pPr>
      <w:r>
        <w:t>Exercise 3 — Secure Billing, Retry, and Recovery</w:t>
      </w:r>
    </w:p>
    <w:p>
      <w:pPr>
        <w:pStyle w:val="Heading2"/>
      </w:pPr>
      <w:r>
        <w:t>Q8. How are Billing API credentials secured?</w:t>
      </w:r>
    </w:p>
    <w:p>
      <w:pPr/>
      <w:r>
        <w:t>Answer: Create the relevant API-key, Header Auth, OAuth2, or other supported credential in n8n Credential Manager. Select it in the Post_To_Billing HTTP Request node. Never embed secrets in JavaScript, URL parameters, screenshots, or exported documentation. Map the amount with {{ $json.payload.amount }}.</w:t>
      </w:r>
    </w:p>
    <w:p>
      <w:pPr>
        <w:pStyle w:val="Heading2"/>
      </w:pPr>
      <w:r>
        <w:t>Q9. How should retry behavior be configured?</w:t>
      </w:r>
    </w:p>
    <w:p>
      <w:pPr/>
      <w:r>
        <w:t>Answer: Allow an initial attempt plus at most three retries. For exponential backoff use delays of 5,000 ms, 10,000 ms, and 20,000 ms. The standard n8n Retry On Fail interval is fixed, so implement exponential delays with a controlled Wait/IF loop. Retry transient network failures and eligible 429/5xx statuses; do not retry 401 or ordinary validation errors. Reuse the same billing idempotency key.</w:t>
      </w:r>
    </w:p>
    <w:p>
      <w:pPr>
        <w:pStyle w:val="Heading2"/>
      </w:pPr>
      <w:r>
        <w:t>Q10. How do unrecoverable failures reach operations?</w:t>
      </w:r>
    </w:p>
    <w:p>
      <w:pPr/>
      <w:r>
        <w:t>Answer: After retries are exhausted, fail the main workflow using Stop And Error (or an unhandled node failure). Configure a separate Error Trigger workflow in main workflow settings. Capture workflow name, execution ID/URL, failed node, and error message; send these through Slack or email. A handled error output does not automatically trigger the global error workflow.</w:t>
      </w:r>
    </w:p>
    <w:p>
      <w:pPr>
        <w:pStyle w:val="Heading1"/>
      </w:pPr>
      <w:r>
        <w:t>Exercise 4 — Documentation, Requirements, and Testing</w:t>
      </w:r>
    </w:p>
    <w:p>
      <w:pPr>
        <w:pStyle w:val="Heading2"/>
      </w:pPr>
      <w:r>
        <w:t>Q11. How should production nodes be named and annotated?</w:t>
      </w:r>
    </w:p>
    <w:p>
      <w:pPr/>
      <w:r>
        <w:t>Answer: Use consistent names such as Webhook_Ingest, Validate_Inputs, Verify_Idempotency, Post_To_Billing, Error_Trigger, and Construct_Slack_Alert. Add n8n Sticky Notes recording owner, dependency, expected input/output schema, failure behavior, and linked requirement IDs. Keep Error_Trigger in the separate error-handler workflow.</w:t>
      </w:r>
    </w:p>
    <w:p>
      <w:pPr>
        <w:pStyle w:val="Heading2"/>
      </w:pPr>
      <w:r>
        <w:t>Q12. How are BRD, PRD, and SRS requirements mapped?</w:t>
      </w:r>
    </w:p>
    <w:p>
      <w:pPr/>
      <w:r>
        <w:t>Answer: Build a traceability matrix linking each requirement ID to a node and test case. Example: BRD-002 “Prevent duplicate billing” → Verify_Idempotency → TC-005; PRD-002 “Validate input” → Validate_Inputs → TC-002/003/004; SRS-003 “Retry transient failures” → Post_To_Billing retry loop → TC-006/007. IDs are examples until matched to approved source documents.</w:t>
      </w:r>
    </w:p>
    <w:p>
      <w:pPr>
        <w:pStyle w:val="Heading2"/>
      </w:pPr>
      <w:r>
        <w:t>Q13. What test cases must be executed?</w:t>
      </w:r>
    </w:p>
    <w:p>
      <w:pPr/>
      <w:r>
        <w:t>Answer: Run positive, negative, duplicate, retry, authentication, and error-handler tests. Record input, expected HTTP code, actual code, execution ID, screenshots, and pass/fail result. Use a mock billing endpoint to avoid real charges.</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Test ID</w:t>
            </w:r>
          </w:p>
        </w:tc>
        <w:tc>
          <w:tcPr>
            <w:tcW w:type="dxa" w:w="2880"/>
          </w:tcPr>
          <w:p>
            <w:r>
              <w:t>Scenario</w:t>
            </w:r>
          </w:p>
        </w:tc>
        <w:tc>
          <w:tcPr>
            <w:tcW w:type="dxa" w:w="2880"/>
          </w:tcPr>
          <w:p>
            <w:r>
              <w:t>Expected outcome</w:t>
            </w:r>
          </w:p>
        </w:tc>
      </w:tr>
      <w:tr>
        <w:tc>
          <w:tcPr>
            <w:tcW w:type="dxa" w:w="2880"/>
          </w:tcPr>
          <w:p>
            <w:r>
              <w:t>TC-001</w:t>
            </w:r>
          </w:p>
        </w:tc>
        <w:tc>
          <w:tcPr>
            <w:tcW w:type="dxa" w:w="2880"/>
          </w:tcPr>
          <w:p>
            <w:r>
              <w:t>Valid new transaction</w:t>
            </w:r>
          </w:p>
        </w:tc>
        <w:tc>
          <w:tcPr>
            <w:tcW w:type="dxa" w:w="2880"/>
          </w:tcPr>
          <w:p>
            <w:r>
              <w:t>202; persisted and queued</w:t>
            </w:r>
          </w:p>
        </w:tc>
      </w:tr>
      <w:tr>
        <w:tc>
          <w:tcPr>
            <w:tcW w:type="dxa" w:w="2880"/>
          </w:tcPr>
          <w:p>
            <w:r>
              <w:t>TC-002</w:t>
            </w:r>
          </w:p>
        </w:tc>
        <w:tc>
          <w:tcPr>
            <w:tcW w:type="dxa" w:w="2880"/>
          </w:tcPr>
          <w:p>
            <w:r>
              <w:t>Invalid email</w:t>
            </w:r>
          </w:p>
        </w:tc>
        <w:tc>
          <w:tcPr>
            <w:tcW w:type="dxa" w:w="2880"/>
          </w:tcPr>
          <w:p>
            <w:r>
              <w:t>400; not queued</w:t>
            </w:r>
          </w:p>
        </w:tc>
      </w:tr>
      <w:tr>
        <w:tc>
          <w:tcPr>
            <w:tcW w:type="dxa" w:w="2880"/>
          </w:tcPr>
          <w:p>
            <w:r>
              <w:t>TC-003</w:t>
            </w:r>
          </w:p>
        </w:tc>
        <w:tc>
          <w:tcPr>
            <w:tcW w:type="dxa" w:w="2880"/>
          </w:tcPr>
          <w:p>
            <w:r>
              <w:t>Amount zero/negative</w:t>
            </w:r>
          </w:p>
        </w:tc>
        <w:tc>
          <w:tcPr>
            <w:tcW w:type="dxa" w:w="2880"/>
          </w:tcPr>
          <w:p>
            <w:r>
              <w:t>400; not queued</w:t>
            </w:r>
          </w:p>
        </w:tc>
      </w:tr>
      <w:tr>
        <w:tc>
          <w:tcPr>
            <w:tcW w:type="dxa" w:w="2880"/>
          </w:tcPr>
          <w:p>
            <w:r>
              <w:t>TC-004</w:t>
            </w:r>
          </w:p>
        </w:tc>
        <w:tc>
          <w:tcPr>
            <w:tcW w:type="dxa" w:w="2880"/>
          </w:tcPr>
          <w:p>
            <w:r>
              <w:t>Missing userId</w:t>
            </w:r>
          </w:p>
        </w:tc>
        <w:tc>
          <w:tcPr>
            <w:tcW w:type="dxa" w:w="2880"/>
          </w:tcPr>
          <w:p>
            <w:r>
              <w:t>400; not queued</w:t>
            </w:r>
          </w:p>
        </w:tc>
      </w:tr>
      <w:tr>
        <w:tc>
          <w:tcPr>
            <w:tcW w:type="dxa" w:w="2880"/>
          </w:tcPr>
          <w:p>
            <w:r>
              <w:t>TC-005</w:t>
            </w:r>
          </w:p>
        </w:tc>
        <w:tc>
          <w:tcPr>
            <w:tcW w:type="dxa" w:w="2880"/>
          </w:tcPr>
          <w:p>
            <w:r>
              <w:t>Repeat eventId</w:t>
            </w:r>
          </w:p>
        </w:tc>
        <w:tc>
          <w:tcPr>
            <w:tcW w:type="dxa" w:w="2880"/>
          </w:tcPr>
          <w:p>
            <w:r>
              <w:t>409; no duplicate billing</w:t>
            </w:r>
          </w:p>
        </w:tc>
      </w:tr>
      <w:tr>
        <w:tc>
          <w:tcPr>
            <w:tcW w:type="dxa" w:w="2880"/>
          </w:tcPr>
          <w:p>
            <w:r>
              <w:t>TC-006</w:t>
            </w:r>
          </w:p>
        </w:tc>
        <w:tc>
          <w:tcPr>
            <w:tcW w:type="dxa" w:w="2880"/>
          </w:tcPr>
          <w:p>
            <w:r>
              <w:t>503 then recovery</w:t>
            </w:r>
          </w:p>
        </w:tc>
        <w:tc>
          <w:tcPr>
            <w:tcW w:type="dxa" w:w="2880"/>
          </w:tcPr>
          <w:p>
            <w:r>
              <w:t>Retry and succeed</w:t>
            </w:r>
          </w:p>
        </w:tc>
      </w:tr>
      <w:tr>
        <w:tc>
          <w:tcPr>
            <w:tcW w:type="dxa" w:w="2880"/>
          </w:tcPr>
          <w:p>
            <w:r>
              <w:t>TC-007</w:t>
            </w:r>
          </w:p>
        </w:tc>
        <w:tc>
          <w:tcPr>
            <w:tcW w:type="dxa" w:w="2880"/>
          </w:tcPr>
          <w:p>
            <w:r>
              <w:t>Repeated 503</w:t>
            </w:r>
          </w:p>
        </w:tc>
        <w:tc>
          <w:tcPr>
            <w:tcW w:type="dxa" w:w="2880"/>
          </w:tcPr>
          <w:p>
            <w:r>
              <w:t>Three retries then failure</w:t>
            </w:r>
          </w:p>
        </w:tc>
      </w:tr>
      <w:tr>
        <w:tc>
          <w:tcPr>
            <w:tcW w:type="dxa" w:w="2880"/>
          </w:tcPr>
          <w:p>
            <w:r>
              <w:t>TC-008</w:t>
            </w:r>
          </w:p>
        </w:tc>
        <w:tc>
          <w:tcPr>
            <w:tcW w:type="dxa" w:w="2880"/>
          </w:tcPr>
          <w:p>
            <w:r>
              <w:t>401 authentication error</w:t>
            </w:r>
          </w:p>
        </w:tc>
        <w:tc>
          <w:tcPr>
            <w:tcW w:type="dxa" w:w="2880"/>
          </w:tcPr>
          <w:p>
            <w:r>
              <w:t>No retry; failure</w:t>
            </w:r>
          </w:p>
        </w:tc>
      </w:tr>
      <w:tr>
        <w:tc>
          <w:tcPr>
            <w:tcW w:type="dxa" w:w="2880"/>
          </w:tcPr>
          <w:p>
            <w:r>
              <w:t>TC-009</w:t>
            </w:r>
          </w:p>
        </w:tc>
        <w:tc>
          <w:tcPr>
            <w:tcW w:type="dxa" w:w="2880"/>
          </w:tcPr>
          <w:p>
            <w:r>
              <w:t>Unrecoverable error</w:t>
            </w:r>
          </w:p>
        </w:tc>
        <w:tc>
          <w:tcPr>
            <w:tcW w:type="dxa" w:w="2880"/>
          </w:tcPr>
          <w:p>
            <w:r>
              <w:t>Error workflow receives execution context</w:t>
            </w:r>
          </w:p>
        </w:tc>
      </w:tr>
      <w:tr>
        <w:tc>
          <w:tcPr>
            <w:tcW w:type="dxa" w:w="2880"/>
          </w:tcPr>
          <w:p>
            <w:r>
              <w:t>TC-010</w:t>
            </w:r>
          </w:p>
        </w:tc>
        <w:tc>
          <w:tcPr>
            <w:tcW w:type="dxa" w:w="2880"/>
          </w:tcPr>
          <w:p>
            <w:r>
              <w:t>Slack/email alert</w:t>
            </w:r>
          </w:p>
        </w:tc>
        <w:tc>
          <w:tcPr>
            <w:tcW w:type="dxa" w:w="2880"/>
          </w:tcPr>
          <w:p>
            <w:r>
              <w:t>Operations notification delivered</w:t>
            </w:r>
          </w:p>
        </w:tc>
      </w:tr>
    </w:tbl>
    <w:p/>
    <w:p>
      <w:pPr>
        <w:pStyle w:val="Heading2"/>
      </w:pPr>
      <w:r>
        <w:t>Q14. What evidence should be submitted?</w:t>
      </w:r>
    </w:p>
    <w:p>
      <w:pPr/>
      <w:r>
        <w:t>Answer: Workflow architecture screenshot, annotated node screenshots, configuration screenshots with secrets hidden, requirement traceability matrix, test-case execution results, database duplicate-check evidence, retry attempt logs, and the Slack/email failure notification. Mark tests as passed only after actual execution.</w:t>
      </w:r>
    </w:p>
    <w:p>
      <w:pPr>
        <w:pStyle w:val="Heading1"/>
      </w:pPr>
      <w:r>
        <w:t>Final Acceptance Checklist</w:t>
      </w:r>
    </w:p>
    <w:p>
      <w:r>
        <w:t>☐ Architecture and environment documented</w:t>
      </w:r>
    </w:p>
    <w:p>
      <w:r>
        <w:t>☐ POST webhook and validation working</w:t>
      </w:r>
    </w:p>
    <w:p>
      <w:r>
        <w:t>☐ Atomic eventId idempotency implemented</w:t>
      </w:r>
    </w:p>
    <w:p>
      <w:r>
        <w:t>☐ Asynchronous worker processes pending events</w:t>
      </w:r>
    </w:p>
    <w:p>
      <w:r>
        <w:t>☐ Billing credentials secured</w:t>
      </w:r>
    </w:p>
    <w:p>
      <w:r>
        <w:t>☐ Three exponential retries tested</w:t>
      </w:r>
    </w:p>
    <w:p>
      <w:r>
        <w:t>☐ Central error handler and alert tested</w:t>
      </w:r>
    </w:p>
    <w:p>
      <w:r>
        <w:t>☐ BRD/PRD/SRS traceability and ten test cases recorded</w:t>
      </w:r>
    </w:p>
    <w:sectPr w:rsidR="00FC693F" w:rsidRPr="0006063C" w:rsidSect="00034616">
      <w:pgSz w:w="12240" w:h="15840"/>
      <w:pgMar w:top="1080"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43F7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43F7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43F71"/>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