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6480"/>
        <w:gridCol w:w="2160"/>
      </w:tblGrid>
      <w:tr>
        <w:tc>
          <w:tcPr>
            <w:tcW w:type="dxa" w:w="4320"/>
            <w:shd w:val="clear" w:color="auto" w:fill="1F4E79"/>
            <w:vAlign w:val="center"/>
          </w:tcPr>
          <w:p>
            <w:r>
              <w:rPr>
                <w:rFonts w:ascii="Arial" w:hAnsi="Arial"/>
                <w:b/>
                <w:color w:val="FFFFFF"/>
                <w:sz w:val="30"/>
              </w:rPr>
              <w:t xml:space="preserve">  AI ROI Reality Check</w:t>
            </w:r>
          </w:p>
        </w:tc>
        <w:tc>
          <w:tcPr>
            <w:tcW w:type="dxa" w:w="4320"/>
            <w:shd w:val="clear" w:color="auto" w:fill="2E75B6"/>
            <w:vAlign w:val="center"/>
          </w:tcPr>
          <w:p>
            <w:pPr>
              <w:jc w:val="right"/>
            </w:pPr>
            <w:r>
              <w:rPr>
                <w:rFonts w:ascii="Arial" w:hAnsi="Arial"/>
                <w:color w:val="FFFFFF"/>
                <w:sz w:val="17"/>
              </w:rPr>
              <w:t>SharePoint Wiki</w:t>
              <w:br/>
              <w:t xml:space="preserve">June 08, 2026  </w:t>
            </w:r>
          </w:p>
        </w:tc>
      </w:tr>
    </w:tbl>
    <w:p/>
    <w:p>
      <w:pPr>
        <w:jc w:val="left"/>
      </w:pPr>
      <w:r>
        <w:rPr>
          <w:rFonts w:ascii="Arial" w:hAnsi="Arial"/>
          <w:b/>
          <w:color w:val="1F4E79"/>
          <w:sz w:val="44"/>
        </w:rPr>
        <w:t>Project Documentation</w:t>
      </w:r>
    </w:p>
    <w:p>
      <w:pPr>
        <w:pBdr>
          <w:bottom w:val="single" w:sz="6" w:space="1" w:color="2E75B6"/>
        </w:pBdr>
        <w:spacing w:after="80"/>
      </w:pPr>
    </w:p>
    <w:p>
      <w:pPr>
        <w:spacing w:after="240"/>
      </w:pPr>
      <w:r>
        <w:rPr>
          <w:rFonts w:ascii="Arial" w:hAnsi="Arial"/>
          <w:b/>
          <w:sz w:val="20"/>
        </w:rPr>
        <w:t xml:space="preserve">Project: </w:t>
      </w:r>
      <w:r>
        <w:rPr>
          <w:rFonts w:ascii="Arial" w:hAnsi="Arial"/>
          <w:sz w:val="20"/>
        </w:rPr>
        <w:t xml:space="preserve">AI ROI Reality Check   </w:t>
      </w:r>
      <w:r>
        <w:rPr>
          <w:rFonts w:ascii="Arial" w:hAnsi="Arial"/>
          <w:b/>
          <w:sz w:val="20"/>
        </w:rPr>
        <w:t xml:space="preserve">Owner: </w:t>
      </w:r>
      <w:r>
        <w:rPr>
          <w:rFonts w:ascii="Arial" w:hAnsi="Arial"/>
          <w:sz w:val="20"/>
        </w:rPr>
        <w:t xml:space="preserve">Neha Sinha   </w:t>
      </w:r>
      <w:r>
        <w:rPr>
          <w:rFonts w:ascii="Arial" w:hAnsi="Arial"/>
          <w:b/>
          <w:sz w:val="20"/>
        </w:rPr>
        <w:t xml:space="preserve">Status: </w:t>
      </w:r>
      <w:r>
        <w:rPr>
          <w:rFonts w:ascii="Arial" w:hAnsi="Arial"/>
          <w:sz w:val="20"/>
        </w:rPr>
        <w:t xml:space="preserve">In Progress   </w:t>
      </w:r>
      <w:r>
        <w:rPr>
          <w:rFonts w:ascii="Arial" w:hAnsi="Arial"/>
          <w:b/>
          <w:sz w:val="20"/>
        </w:rPr>
        <w:t xml:space="preserve">Last Updated: </w:t>
      </w:r>
      <w:r>
        <w:rPr>
          <w:rFonts w:ascii="Arial" w:hAnsi="Arial"/>
          <w:sz w:val="20"/>
        </w:rPr>
        <w:t>June 08, 2026</w:t>
      </w:r>
    </w:p>
    <w:p>
      <w:pPr>
        <w:pStyle w:val="Heading1"/>
        <w:spacing w:before="280" w:after="80"/>
      </w:pPr>
      <w:r>
        <w:rPr>
          <w:rFonts w:ascii="Arial" w:hAnsi="Arial"/>
          <w:color w:val="1F4E79"/>
        </w:rPr>
        <w:t>1. Project Overview and Scope</w:t>
      </w:r>
    </w:p>
    <w:p>
      <w:pPr>
        <w:spacing w:after="120"/>
      </w:pPr>
      <w:r>
        <w:rPr>
          <w:rFonts w:ascii="Arial" w:hAnsi="Arial"/>
          <w:b w:val="0"/>
          <w:i w:val="0"/>
          <w:sz w:val="21"/>
        </w:rPr>
        <w:t>This project investigates whether enterprise AI investment produces measurable business value. Using publicly available financial data from 17 major companies across 6 industries (2024–2026), it cross-references AI spending against revenue growth, profit margins, employee productivity, and calculated ROI to determine whether high AI investment correlates with superior business outcomes.</w:t>
      </w:r>
    </w:p>
    <w:p>
      <w:pPr>
        <w:spacing w:after="120"/>
      </w:pPr>
      <w:r>
        <w:rPr>
          <w:rFonts w:ascii="Arial" w:hAnsi="Arial"/>
          <w:b/>
          <w:i w:val="0"/>
          <w:sz w:val="21"/>
        </w:rPr>
        <w:t>Scope includes:</w:t>
      </w:r>
    </w:p>
    <w:p>
      <w:pPr>
        <w:pStyle w:val="ListBullet"/>
        <w:spacing w:after="60"/>
        <w:ind w:left="720"/>
      </w:pPr>
      <w:r>
        <w:rPr>
          <w:rFonts w:ascii="Arial" w:hAnsi="Arial"/>
          <w:sz w:val="21"/>
        </w:rPr>
        <w:t>Industries: Tech, Finance, Healthcare, Retail, Manufacturing, Consulting</w:t>
      </w:r>
    </w:p>
    <w:p>
      <w:pPr>
        <w:pStyle w:val="ListBullet"/>
        <w:spacing w:after="60"/>
        <w:ind w:left="720"/>
      </w:pPr>
      <w:r>
        <w:rPr>
          <w:rFonts w:ascii="Arial" w:hAnsi="Arial"/>
          <w:sz w:val="21"/>
        </w:rPr>
        <w:t>Time period: Q1 2024 – Q1 2026 (9 quarters)</w:t>
      </w:r>
    </w:p>
    <w:p>
      <w:pPr>
        <w:pStyle w:val="ListBullet"/>
        <w:spacing w:after="60"/>
        <w:ind w:left="720"/>
      </w:pPr>
      <w:r>
        <w:rPr>
          <w:rFonts w:ascii="Arial" w:hAnsi="Arial"/>
          <w:sz w:val="21"/>
        </w:rPr>
        <w:t>Companies: 17 enterprises including Microsoft, Google, IBM, JPMorgan Chase, Amazon, Ford</w:t>
      </w:r>
    </w:p>
    <w:p>
      <w:pPr>
        <w:pStyle w:val="ListBullet"/>
        <w:spacing w:after="60"/>
        <w:ind w:left="720"/>
      </w:pPr>
      <w:r>
        <w:rPr>
          <w:rFonts w:ascii="Arial" w:hAnsi="Arial"/>
          <w:sz w:val="21"/>
        </w:rPr>
        <w:t>Metrics: AI Investment ($M), Revenue Growth %, Profit Margin %, Employee Productivity Score, AI ROI %</w:t>
      </w:r>
    </w:p>
    <w:p>
      <w:pPr>
        <w:pStyle w:val="Heading1"/>
        <w:spacing w:before="280" w:after="80"/>
      </w:pPr>
      <w:r>
        <w:rPr>
          <w:rFonts w:ascii="Arial" w:hAnsi="Arial"/>
          <w:color w:val="1F4E79"/>
        </w:rPr>
        <w:t>2. Business Question</w:t>
      </w:r>
    </w:p>
    <w:p>
      <w:pPr>
        <w:spacing w:after="160"/>
        <w:ind w:left="576"/>
      </w:pPr>
      <w:r>
        <w:rPr>
          <w:rFonts w:ascii="Arial" w:hAnsi="Arial"/>
          <w:b/>
          <w:i/>
          <w:color w:val="2E75B6"/>
          <w:sz w:val="24"/>
        </w:rPr>
        <w:t>“Are companies actually getting returns on their AI investments?”</w:t>
      </w:r>
    </w:p>
    <w:p>
      <w:pPr>
        <w:spacing w:after="120"/>
      </w:pPr>
      <w:r>
        <w:rPr>
          <w:rFonts w:ascii="Arial" w:hAnsi="Arial"/>
          <w:b w:val="0"/>
          <w:i w:val="0"/>
          <w:sz w:val="21"/>
        </w:rPr>
        <w:t>This question is examined by comparing AI investment levels against five measurable outcomes: revenue growth rate, profit margin, employee productivity score, AI ROI percentage, and consistency of returns over time. The analysis deliberately challenges the assumption that greater AI spend leads to better performance.</w:t>
      </w:r>
    </w:p>
    <w:p>
      <w:pPr>
        <w:pStyle w:val="Heading1"/>
        <w:spacing w:before="280" w:after="80"/>
      </w:pPr>
      <w:r>
        <w:rPr>
          <w:rFonts w:ascii="Arial" w:hAnsi="Arial"/>
          <w:color w:val="1F4E79"/>
        </w:rPr>
        <w:t>3. Data Sources and Methodology</w:t>
      </w:r>
    </w:p>
    <w:p>
      <w:pPr>
        <w:spacing w:after="120"/>
      </w:pPr>
      <w:r>
        <w:rPr>
          <w:rFonts w:ascii="Arial" w:hAnsi="Arial"/>
          <w:b/>
          <w:i w:val="0"/>
          <w:sz w:val="21"/>
        </w:rPr>
        <w:t>Data Sources: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2E75B6"/>
          </w:tcPr>
          <w:p>
            <w:r>
              <w:rPr>
                <w:rFonts w:ascii="Arial" w:hAnsi="Arial"/>
                <w:b/>
                <w:color w:val="FFFFFF"/>
                <w:sz w:val="20"/>
              </w:rPr>
              <w:t>Source</w:t>
            </w:r>
          </w:p>
        </w:tc>
        <w:tc>
          <w:tcPr>
            <w:tcW w:type="dxa" w:w="4320"/>
            <w:shd w:val="clear" w:color="auto" w:fill="2E75B6"/>
          </w:tcPr>
          <w:p>
            <w:r>
              <w:rPr>
                <w:rFonts w:ascii="Arial" w:hAnsi="Arial"/>
                <w:b/>
                <w:color w:val="FFFFFF"/>
                <w:sz w:val="20"/>
              </w:rPr>
              <w:t>Description</w:t>
            </w:r>
          </w:p>
        </w:tc>
      </w:tr>
      <w:tr>
        <w:tc>
          <w:tcPr>
            <w:tcW w:type="dxa" w:w="4320"/>
            <w:shd w:val="clear" w:color="auto" w:fill="DCE6F1"/>
          </w:tcPr>
          <w:p>
            <w:r>
              <w:rPr>
                <w:rFonts w:ascii="Arial" w:hAnsi="Arial"/>
                <w:sz w:val="20"/>
              </w:rPr>
              <w:t>Primary Dataset</w:t>
            </w:r>
          </w:p>
        </w:tc>
        <w:tc>
          <w:tcPr>
            <w:tcW w:type="dxa" w:w="4320"/>
            <w:shd w:val="clear" w:color="auto" w:fill="DCE6F1"/>
          </w:tcPr>
          <w:p>
            <w:r>
              <w:rPr>
                <w:rFonts w:ascii="Arial" w:hAnsi="Arial"/>
                <w:sz w:val="20"/>
              </w:rPr>
              <w:t>ai_investment_business_outcomes_2024_2026.csv (88 rows, repo: data/)</w:t>
            </w:r>
          </w:p>
        </w:tc>
      </w:tr>
      <w:tr>
        <w:tc>
          <w:tcPr>
            <w:tcW w:type="dxa" w:w="4320"/>
            <w:shd w:val="clear" w:color="auto" w:fill="FFFFFF"/>
          </w:tcPr>
          <w:p>
            <w:r>
              <w:rPr>
                <w:rFonts w:ascii="Arial" w:hAnsi="Arial"/>
                <w:sz w:val="20"/>
              </w:rPr>
              <w:t>Financial Data</w:t>
            </w:r>
          </w:p>
        </w:tc>
        <w:tc>
          <w:tcPr>
            <w:tcW w:type="dxa" w:w="4320"/>
            <w:shd w:val="clear" w:color="auto" w:fill="FFFFFF"/>
          </w:tcPr>
          <w:p>
            <w:r>
              <w:rPr>
                <w:rFonts w:ascii="Arial" w:hAnsi="Arial"/>
                <w:sz w:val="20"/>
              </w:rPr>
              <w:t>S&amp;P 500 public filings via Macrotrends (macrotrends.net/stocks/research)</w:t>
            </w:r>
          </w:p>
        </w:tc>
      </w:tr>
      <w:tr>
        <w:tc>
          <w:tcPr>
            <w:tcW w:type="dxa" w:w="4320"/>
            <w:shd w:val="clear" w:color="auto" w:fill="DCE6F1"/>
          </w:tcPr>
          <w:p>
            <w:r>
              <w:rPr>
                <w:rFonts w:ascii="Arial" w:hAnsi="Arial"/>
                <w:sz w:val="20"/>
              </w:rPr>
              <w:t>AI Benchmarks</w:t>
            </w:r>
          </w:p>
        </w:tc>
        <w:tc>
          <w:tcPr>
            <w:tcW w:type="dxa" w:w="4320"/>
            <w:shd w:val="clear" w:color="auto" w:fill="DCE6F1"/>
          </w:tcPr>
          <w:p>
            <w:r>
              <w:rPr>
                <w:rFonts w:ascii="Arial" w:hAnsi="Arial"/>
                <w:sz w:val="20"/>
              </w:rPr>
              <w:t>Stanford HAI AI Index Report 2026 (hai.stanford.edu/ai-index/2026-ai-index-report)</w:t>
            </w:r>
          </w:p>
        </w:tc>
      </w:tr>
      <w:tr>
        <w:tc>
          <w:tcPr>
            <w:tcW w:type="dxa" w:w="4320"/>
            <w:shd w:val="clear" w:color="auto" w:fill="FFFFFF"/>
          </w:tcPr>
          <w:p>
            <w:r>
              <w:rPr>
                <w:rFonts w:ascii="Arial" w:hAnsi="Arial"/>
                <w:sz w:val="20"/>
              </w:rPr>
              <w:t>Market Research</w:t>
            </w:r>
          </w:p>
        </w:tc>
        <w:tc>
          <w:tcPr>
            <w:tcW w:type="dxa" w:w="4320"/>
            <w:shd w:val="clear" w:color="auto" w:fill="FFFFFF"/>
          </w:tcPr>
          <w:p>
            <w:r>
              <w:rPr>
                <w:rFonts w:ascii="Arial" w:hAnsi="Arial"/>
                <w:sz w:val="20"/>
              </w:rPr>
              <w:t>McKinsey State of AI 2025 (mckinsey.com)</w:t>
            </w:r>
          </w:p>
        </w:tc>
      </w:tr>
    </w:tbl>
    <w:p/>
    <w:p>
      <w:pPr>
        <w:spacing w:after="120"/>
      </w:pPr>
      <w:r>
        <w:rPr>
          <w:rFonts w:ascii="Arial" w:hAnsi="Arial"/>
          <w:b/>
          <w:i w:val="0"/>
          <w:sz w:val="21"/>
        </w:rPr>
        <w:t>Methodology:</w:t>
      </w:r>
    </w:p>
    <w:p>
      <w:pPr>
        <w:pStyle w:val="ListBullet"/>
        <w:spacing w:after="60"/>
        <w:ind w:left="720"/>
      </w:pPr>
      <w:r>
        <w:rPr>
          <w:rFonts w:ascii="Arial" w:hAnsi="Arial"/>
          <w:sz w:val="21"/>
        </w:rPr>
        <w:t>Data collection: CSV compilation from public financial filings and research reports</w:t>
      </w:r>
    </w:p>
    <w:p>
      <w:pPr>
        <w:pStyle w:val="ListBullet"/>
        <w:spacing w:after="60"/>
        <w:ind w:left="720"/>
      </w:pPr>
      <w:r>
        <w:rPr>
          <w:rFonts w:ascii="Arial" w:hAnsi="Arial"/>
          <w:sz w:val="21"/>
        </w:rPr>
        <w:t>Cleaning: Outlier flagging, null handling, standardisation of fiscal quarters</w:t>
      </w:r>
    </w:p>
    <w:p>
      <w:pPr>
        <w:pStyle w:val="ListBullet"/>
        <w:spacing w:after="60"/>
        <w:ind w:left="720"/>
      </w:pPr>
      <w:r>
        <w:rPr>
          <w:rFonts w:ascii="Arial" w:hAnsi="Arial"/>
          <w:sz w:val="21"/>
        </w:rPr>
        <w:t>Analysis: Excel pivot tables, investment scoring model, trend comparison 2024–2026</w:t>
      </w:r>
    </w:p>
    <w:p>
      <w:pPr>
        <w:pStyle w:val="ListBullet"/>
        <w:spacing w:after="60"/>
        <w:ind w:left="720"/>
      </w:pPr>
      <w:r>
        <w:rPr>
          <w:rFonts w:ascii="Arial" w:hAnsi="Arial"/>
          <w:sz w:val="21"/>
        </w:rPr>
        <w:t>Visualisation: Tableau dashboard (Investment vs ROI, Industry Comparison sheets)</w:t>
      </w:r>
    </w:p>
    <w:p>
      <w:pPr>
        <w:pStyle w:val="ListBullet"/>
        <w:spacing w:after="60"/>
        <w:ind w:left="720"/>
      </w:pPr>
      <w:r>
        <w:rPr>
          <w:rFonts w:ascii="Arial" w:hAnsi="Arial"/>
          <w:sz w:val="21"/>
        </w:rPr>
        <w:t>Documentation: This SharePoint wiki page and ServiceNow change request</w:t>
      </w:r>
    </w:p>
    <w:p>
      <w:pPr>
        <w:pStyle w:val="Heading1"/>
        <w:spacing w:before="280" w:after="80"/>
      </w:pPr>
      <w:r>
        <w:rPr>
          <w:rFonts w:ascii="Arial" w:hAnsi="Arial"/>
          <w:color w:val="1F4E79"/>
        </w:rPr>
        <w:t>4. Key Findings Summary</w:t>
      </w:r>
    </w:p>
    <w:p>
      <w:pPr>
        <w:pStyle w:val="ListBullet"/>
        <w:spacing w:after="100"/>
      </w:pPr>
      <w:r>
        <w:rPr>
          <w:rFonts w:ascii="Arial" w:hAnsi="Arial"/>
          <w:b/>
          <w:sz w:val="21"/>
        </w:rPr>
        <w:t xml:space="preserve">Higher spend ≠ higher returns: </w:t>
      </w:r>
      <w:r>
        <w:rPr>
          <w:rFonts w:ascii="Arial" w:hAnsi="Arial"/>
          <w:sz w:val="21"/>
        </w:rPr>
        <w:t>IBM ($3.5B AI spend) posted only 1.6% revenue growth and 4.8% ROI in 2024 Q4.</w:t>
      </w:r>
    </w:p>
    <w:p>
      <w:pPr>
        <w:pStyle w:val="ListBullet"/>
        <w:spacing w:after="100"/>
      </w:pPr>
      <w:r>
        <w:rPr>
          <w:rFonts w:ascii="Arial" w:hAnsi="Arial"/>
          <w:b/>
          <w:sz w:val="21"/>
        </w:rPr>
        <w:t xml:space="preserve">Negative ROI is common: </w:t>
      </w:r>
      <w:r>
        <w:rPr>
          <w:rFonts w:ascii="Arial" w:hAnsi="Arial"/>
          <w:sz w:val="21"/>
        </w:rPr>
        <w:t>Citi (-3.8%), Ford (-6.8%), and Target (-4.2%) all reported negative AI ROI in 2024 Q1.</w:t>
      </w:r>
    </w:p>
    <w:p>
      <w:pPr>
        <w:pStyle w:val="ListBullet"/>
        <w:spacing w:after="100"/>
      </w:pPr>
      <w:r>
        <w:rPr>
          <w:rFonts w:ascii="Arial" w:hAnsi="Arial"/>
          <w:b/>
          <w:sz w:val="21"/>
        </w:rPr>
        <w:t xml:space="preserve">Outliers exist but are not typical: </w:t>
      </w:r>
      <w:r>
        <w:rPr>
          <w:rFonts w:ascii="Arial" w:hAnsi="Arial"/>
          <w:sz w:val="21"/>
        </w:rPr>
        <w:t>Microsoft delivers 31–39% AI ROI consistently, but its scale and integration depth are exceptional.</w:t>
      </w:r>
    </w:p>
    <w:p>
      <w:pPr>
        <w:pStyle w:val="ListBullet"/>
        <w:spacing w:after="100"/>
      </w:pPr>
      <w:r>
        <w:rPr>
          <w:rFonts w:ascii="Arial" w:hAnsi="Arial"/>
          <w:b/>
          <w:sz w:val="21"/>
        </w:rPr>
        <w:t xml:space="preserve">Consulting leads on ROI efficiency: </w:t>
      </w:r>
      <w:r>
        <w:rPr>
          <w:rFonts w:ascii="Arial" w:hAnsi="Arial"/>
          <w:sz w:val="21"/>
        </w:rPr>
        <w:t>McKinsey generates 18–20% ROI on ~$420–480M spend, outperforming firms spending 10x more.</w:t>
      </w:r>
    </w:p>
    <w:p>
      <w:pPr>
        <w:pStyle w:val="ListBullet"/>
        <w:spacing w:after="100"/>
      </w:pPr>
      <w:r>
        <w:rPr>
          <w:rFonts w:ascii="Arial" w:hAnsi="Arial"/>
          <w:b/>
          <w:sz w:val="21"/>
        </w:rPr>
        <w:t xml:space="preserve">Healthcare is improving: </w:t>
      </w:r>
      <w:r>
        <w:rPr>
          <w:rFonts w:ascii="Arial" w:hAnsi="Arial"/>
          <w:sz w:val="21"/>
        </w:rPr>
        <w:t>Pfizer reversed from -4.8% revenue growth (2024 Q1) to +4.8% (2025 Q2) as AI initiatives matured.</w:t>
      </w:r>
    </w:p>
    <w:p>
      <w:pPr>
        <w:pStyle w:val="ListBullet"/>
        <w:spacing w:after="100"/>
      </w:pPr>
      <w:r>
        <w:rPr>
          <w:rFonts w:ascii="Arial" w:hAnsi="Arial"/>
          <w:b/>
          <w:sz w:val="21"/>
        </w:rPr>
        <w:t xml:space="preserve">Industry matters more than spend level: </w:t>
      </w:r>
      <w:r>
        <w:rPr>
          <w:rFonts w:ascii="Arial" w:hAnsi="Arial"/>
          <w:sz w:val="21"/>
        </w:rPr>
        <w:t>Consulting and Tech show the strongest ROI signals; Manufacturing and Retail show the weakest.</w:t>
      </w:r>
    </w:p>
    <w:p>
      <w:pPr>
        <w:pStyle w:val="Heading1"/>
        <w:spacing w:before="280" w:after="80"/>
      </w:pPr>
      <w:r>
        <w:rPr>
          <w:rFonts w:ascii="Arial" w:hAnsi="Arial"/>
          <w:color w:val="1F4E79"/>
        </w:rPr>
        <w:t>5. Stakeholder Communication Notes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4E79"/>
          </w:tcPr>
          <w:p>
            <w:r>
              <w:rPr>
                <w:rFonts w:ascii="Arial" w:hAnsi="Arial"/>
                <w:b/>
                <w:color w:val="FFFFFF"/>
                <w:sz w:val="19"/>
              </w:rPr>
              <w:t>Stakeholder</w:t>
            </w:r>
          </w:p>
        </w:tc>
        <w:tc>
          <w:tcPr>
            <w:tcW w:type="dxa" w:w="2160"/>
            <w:shd w:val="clear" w:color="auto" w:fill="1F4E79"/>
          </w:tcPr>
          <w:p>
            <w:r>
              <w:rPr>
                <w:rFonts w:ascii="Arial" w:hAnsi="Arial"/>
                <w:b/>
                <w:color w:val="FFFFFF"/>
                <w:sz w:val="19"/>
              </w:rPr>
              <w:t>Role</w:t>
            </w:r>
          </w:p>
        </w:tc>
        <w:tc>
          <w:tcPr>
            <w:tcW w:type="dxa" w:w="2160"/>
            <w:shd w:val="clear" w:color="auto" w:fill="1F4E79"/>
          </w:tcPr>
          <w:p>
            <w:r>
              <w:rPr>
                <w:rFonts w:ascii="Arial" w:hAnsi="Arial"/>
                <w:b/>
                <w:color w:val="FFFFFF"/>
                <w:sz w:val="19"/>
              </w:rPr>
              <w:t>Cadence</w:t>
            </w:r>
          </w:p>
        </w:tc>
        <w:tc>
          <w:tcPr>
            <w:tcW w:type="dxa" w:w="2160"/>
            <w:shd w:val="clear" w:color="auto" w:fill="1F4E79"/>
          </w:tcPr>
          <w:p>
            <w:r>
              <w:rPr>
                <w:rFonts w:ascii="Arial" w:hAnsi="Arial"/>
                <w:b/>
                <w:color w:val="FFFFFF"/>
                <w:sz w:val="19"/>
              </w:rPr>
              <w:t>Deliverable</w:t>
            </w:r>
          </w:p>
        </w:tc>
      </w:tr>
      <w:tr>
        <w:tc>
          <w:tcPr>
            <w:tcW w:type="dxa" w:w="2160"/>
            <w:shd w:val="clear" w:color="auto" w:fill="DCE6F1"/>
          </w:tcPr>
          <w:p>
            <w:r>
              <w:rPr>
                <w:rFonts w:ascii="Arial" w:hAnsi="Arial"/>
                <w:sz w:val="19"/>
              </w:rPr>
              <w:t>Executive Sponsor</w:t>
            </w:r>
          </w:p>
        </w:tc>
        <w:tc>
          <w:tcPr>
            <w:tcW w:type="dxa" w:w="2160"/>
            <w:shd w:val="clear" w:color="auto" w:fill="DCE6F1"/>
          </w:tcPr>
          <w:p>
            <w:r>
              <w:rPr>
                <w:rFonts w:ascii="Arial" w:hAnsi="Arial"/>
                <w:sz w:val="19"/>
              </w:rPr>
              <w:t>VP of Strategy</w:t>
            </w:r>
          </w:p>
        </w:tc>
        <w:tc>
          <w:tcPr>
            <w:tcW w:type="dxa" w:w="2160"/>
            <w:shd w:val="clear" w:color="auto" w:fill="DCE6F1"/>
          </w:tcPr>
          <w:p>
            <w:r>
              <w:rPr>
                <w:rFonts w:ascii="Arial" w:hAnsi="Arial"/>
                <w:sz w:val="19"/>
              </w:rPr>
              <w:t>Monthly</w:t>
            </w:r>
          </w:p>
        </w:tc>
        <w:tc>
          <w:tcPr>
            <w:tcW w:type="dxa" w:w="2160"/>
            <w:shd w:val="clear" w:color="auto" w:fill="DCE6F1"/>
          </w:tcPr>
          <w:p>
            <w:r>
              <w:rPr>
                <w:rFonts w:ascii="Arial" w:hAnsi="Arial"/>
                <w:sz w:val="19"/>
              </w:rPr>
              <w:t>High-level ROI dashboard, industry comparison</w:t>
            </w:r>
          </w:p>
        </w:tc>
      </w:tr>
      <w:tr>
        <w:tc>
          <w:tcPr>
            <w:tcW w:type="dxa" w:w="2160"/>
            <w:shd w:val="clear" w:color="auto" w:fill="FFFFFF"/>
          </w:tcPr>
          <w:p>
            <w:r>
              <w:rPr>
                <w:rFonts w:ascii="Arial" w:hAnsi="Arial"/>
                <w:sz w:val="19"/>
              </w:rPr>
              <w:t>Data Team</w:t>
            </w:r>
          </w:p>
        </w:tc>
        <w:tc>
          <w:tcPr>
            <w:tcW w:type="dxa" w:w="2160"/>
            <w:shd w:val="clear" w:color="auto" w:fill="FFFFFF"/>
          </w:tcPr>
          <w:p>
            <w:r>
              <w:rPr>
                <w:rFonts w:ascii="Arial" w:hAnsi="Arial"/>
                <w:sz w:val="19"/>
              </w:rPr>
              <w:t>Analytics Manager</w:t>
            </w:r>
          </w:p>
        </w:tc>
        <w:tc>
          <w:tcPr>
            <w:tcW w:type="dxa" w:w="2160"/>
            <w:shd w:val="clear" w:color="auto" w:fill="FFFFFF"/>
          </w:tcPr>
          <w:p>
            <w:r>
              <w:rPr>
                <w:rFonts w:ascii="Arial" w:hAnsi="Arial"/>
                <w:sz w:val="19"/>
              </w:rPr>
              <w:t>Weekly</w:t>
            </w:r>
          </w:p>
        </w:tc>
        <w:tc>
          <w:tcPr>
            <w:tcW w:type="dxa" w:w="2160"/>
            <w:shd w:val="clear" w:color="auto" w:fill="FFFFFF"/>
          </w:tcPr>
          <w:p>
            <w:r>
              <w:rPr>
                <w:rFonts w:ascii="Arial" w:hAnsi="Arial"/>
                <w:sz w:val="19"/>
              </w:rPr>
              <w:t>Raw CSV updates, methodology changes</w:t>
            </w:r>
          </w:p>
        </w:tc>
      </w:tr>
      <w:tr>
        <w:tc>
          <w:tcPr>
            <w:tcW w:type="dxa" w:w="2160"/>
            <w:shd w:val="clear" w:color="auto" w:fill="DCE6F1"/>
          </w:tcPr>
          <w:p>
            <w:r>
              <w:rPr>
                <w:rFonts w:ascii="Arial" w:hAnsi="Arial"/>
                <w:sz w:val="19"/>
              </w:rPr>
              <w:t>Finance</w:t>
            </w:r>
          </w:p>
        </w:tc>
        <w:tc>
          <w:tcPr>
            <w:tcW w:type="dxa" w:w="2160"/>
            <w:shd w:val="clear" w:color="auto" w:fill="DCE6F1"/>
          </w:tcPr>
          <w:p>
            <w:r>
              <w:rPr>
                <w:rFonts w:ascii="Arial" w:hAnsi="Arial"/>
                <w:sz w:val="19"/>
              </w:rPr>
              <w:t>FP&amp;A Director</w:t>
            </w:r>
          </w:p>
        </w:tc>
        <w:tc>
          <w:tcPr>
            <w:tcW w:type="dxa" w:w="2160"/>
            <w:shd w:val="clear" w:color="auto" w:fill="DCE6F1"/>
          </w:tcPr>
          <w:p>
            <w:r>
              <w:rPr>
                <w:rFonts w:ascii="Arial" w:hAnsi="Arial"/>
                <w:sz w:val="19"/>
              </w:rPr>
              <w:t>Quarterly</w:t>
            </w:r>
          </w:p>
        </w:tc>
        <w:tc>
          <w:tcPr>
            <w:tcW w:type="dxa" w:w="2160"/>
            <w:shd w:val="clear" w:color="auto" w:fill="DCE6F1"/>
          </w:tcPr>
          <w:p>
            <w:r>
              <w:rPr>
                <w:rFonts w:ascii="Arial" w:hAnsi="Arial"/>
                <w:sz w:val="19"/>
              </w:rPr>
              <w:t>Investment scoring model, financial validation</w:t>
            </w:r>
          </w:p>
        </w:tc>
      </w:tr>
      <w:tr>
        <w:tc>
          <w:tcPr>
            <w:tcW w:type="dxa" w:w="2160"/>
            <w:shd w:val="clear" w:color="auto" w:fill="FFFFFF"/>
          </w:tcPr>
          <w:p>
            <w:r>
              <w:rPr>
                <w:rFonts w:ascii="Arial" w:hAnsi="Arial"/>
                <w:sz w:val="19"/>
              </w:rPr>
              <w:t>IT / ServiceNow Team</w:t>
            </w:r>
          </w:p>
        </w:tc>
        <w:tc>
          <w:tcPr>
            <w:tcW w:type="dxa" w:w="2160"/>
            <w:shd w:val="clear" w:color="auto" w:fill="FFFFFF"/>
          </w:tcPr>
          <w:p>
            <w:r>
              <w:rPr>
                <w:rFonts w:ascii="Arial" w:hAnsi="Arial"/>
                <w:sz w:val="19"/>
              </w:rPr>
              <w:t>IT Change Manager</w:t>
            </w:r>
          </w:p>
        </w:tc>
        <w:tc>
          <w:tcPr>
            <w:tcW w:type="dxa" w:w="2160"/>
            <w:shd w:val="clear" w:color="auto" w:fill="FFFFFF"/>
          </w:tcPr>
          <w:p>
            <w:r>
              <w:rPr>
                <w:rFonts w:ascii="Arial" w:hAnsi="Arial"/>
                <w:sz w:val="19"/>
              </w:rPr>
              <w:t>As needed</w:t>
            </w:r>
          </w:p>
        </w:tc>
        <w:tc>
          <w:tcPr>
            <w:tcW w:type="dxa" w:w="2160"/>
            <w:shd w:val="clear" w:color="auto" w:fill="FFFFFF"/>
          </w:tcPr>
          <w:p>
            <w:r>
              <w:rPr>
                <w:rFonts w:ascii="Arial" w:hAnsi="Arial"/>
                <w:sz w:val="19"/>
              </w:rPr>
              <w:t>CMDB updates, change request tracking</w:t>
            </w:r>
          </w:p>
        </w:tc>
      </w:tr>
      <w:tr>
        <w:tc>
          <w:tcPr>
            <w:tcW w:type="dxa" w:w="2160"/>
            <w:shd w:val="clear" w:color="auto" w:fill="DCE6F1"/>
          </w:tcPr>
          <w:p>
            <w:r>
              <w:rPr>
                <w:rFonts w:ascii="Arial" w:hAnsi="Arial"/>
                <w:sz w:val="19"/>
              </w:rPr>
              <w:t>Communications</w:t>
            </w:r>
          </w:p>
        </w:tc>
        <w:tc>
          <w:tcPr>
            <w:tcW w:type="dxa" w:w="2160"/>
            <w:shd w:val="clear" w:color="auto" w:fill="DCE6F1"/>
          </w:tcPr>
          <w:p>
            <w:r>
              <w:rPr>
                <w:rFonts w:ascii="Arial" w:hAnsi="Arial"/>
                <w:sz w:val="19"/>
              </w:rPr>
              <w:t>Senior BA</w:t>
            </w:r>
          </w:p>
        </w:tc>
        <w:tc>
          <w:tcPr>
            <w:tcW w:type="dxa" w:w="2160"/>
            <w:shd w:val="clear" w:color="auto" w:fill="DCE6F1"/>
          </w:tcPr>
          <w:p>
            <w:r>
              <w:rPr>
                <w:rFonts w:ascii="Arial" w:hAnsi="Arial"/>
                <w:sz w:val="19"/>
              </w:rPr>
              <w:t>Monthly</w:t>
            </w:r>
          </w:p>
        </w:tc>
        <w:tc>
          <w:tcPr>
            <w:tcW w:type="dxa" w:w="2160"/>
            <w:shd w:val="clear" w:color="auto" w:fill="DCE6F1"/>
          </w:tcPr>
          <w:p>
            <w:r>
              <w:rPr>
                <w:rFonts w:ascii="Arial" w:hAnsi="Arial"/>
                <w:sz w:val="19"/>
              </w:rPr>
              <w:t>Summary findings, stakeholder presentation deck</w:t>
            </w:r>
          </w:p>
        </w:tc>
      </w:tr>
    </w:tbl>
    <w:p/>
    <w:p>
      <w:pPr>
        <w:pStyle w:val="Heading1"/>
        <w:spacing w:before="280" w:after="80"/>
      </w:pPr>
      <w:r>
        <w:rPr>
          <w:rFonts w:ascii="Arial" w:hAnsi="Arial"/>
          <w:color w:val="1F4E79"/>
        </w:rPr>
        <w:t>6. Next Steps and Recommendations</w:t>
      </w:r>
    </w:p>
    <w:p>
      <w:pPr>
        <w:pStyle w:val="ListBullet"/>
        <w:spacing w:after="60"/>
        <w:ind w:left="720"/>
      </w:pPr>
      <w:r>
        <w:rPr>
          <w:rFonts w:ascii="Arial" w:hAnsi="Arial"/>
          <w:sz w:val="21"/>
        </w:rPr>
        <w:t>Expand dataset to include 2026 Q2–Q4 data as filings become available</w:t>
      </w:r>
    </w:p>
    <w:p>
      <w:pPr>
        <w:pStyle w:val="ListBullet"/>
        <w:spacing w:after="60"/>
        <w:ind w:left="720"/>
      </w:pPr>
      <w:r>
        <w:rPr>
          <w:rFonts w:ascii="Arial" w:hAnsi="Arial"/>
          <w:sz w:val="21"/>
        </w:rPr>
        <w:t>Build regression model to predict ROI outcomes from investment profile and company characteristics</w:t>
      </w:r>
    </w:p>
    <w:p>
      <w:pPr>
        <w:pStyle w:val="ListBullet"/>
        <w:spacing w:after="60"/>
        <w:ind w:left="720"/>
      </w:pPr>
      <w:r>
        <w:rPr>
          <w:rFonts w:ascii="Arial" w:hAnsi="Arial"/>
          <w:sz w:val="21"/>
        </w:rPr>
        <w:t>Develop executive summary slide deck for leadership presentation</w:t>
      </w:r>
    </w:p>
    <w:p>
      <w:pPr>
        <w:pStyle w:val="ListBullet"/>
        <w:spacing w:after="60"/>
        <w:ind w:left="720"/>
      </w:pPr>
      <w:r>
        <w:rPr>
          <w:rFonts w:ascii="Arial" w:hAnsi="Arial"/>
          <w:sz w:val="21"/>
        </w:rPr>
        <w:t>Integrate findings into ServiceNow CMDB for AI initiative portfolio tracking</w:t>
      </w:r>
    </w:p>
    <w:p>
      <w:pPr>
        <w:pStyle w:val="ListBullet"/>
        <w:spacing w:after="60"/>
        <w:ind w:left="720"/>
      </w:pPr>
      <w:r>
        <w:rPr>
          <w:rFonts w:ascii="Arial" w:hAnsi="Arial"/>
          <w:sz w:val="21"/>
        </w:rPr>
        <w:t>Conduct structured interviews with 3–5 BA stakeholders to validate qualitative findings</w:t>
      </w:r>
    </w:p>
    <w:p>
      <w:pPr>
        <w:pStyle w:val="ListBullet"/>
        <w:spacing w:after="60"/>
        <w:ind w:left="720"/>
      </w:pPr>
      <w:r>
        <w:rPr>
          <w:rFonts w:ascii="Arial" w:hAnsi="Arial"/>
          <w:sz w:val="21"/>
        </w:rPr>
        <w:t>Publish Tableau dashboard to Tableau Public and link from SharePoint project page</w:t>
      </w:r>
    </w:p>
    <w:p>
      <w:pPr>
        <w:pBdr>
          <w:bottom w:val="single" w:sz="6" w:space="1" w:color="CCCCCC"/>
        </w:pBdr>
        <w:spacing w:after="80"/>
      </w:pPr>
    </w:p>
    <w:p>
      <w:pPr>
        <w:jc w:val="center"/>
      </w:pPr>
      <w:r>
        <w:rPr>
          <w:rFonts w:ascii="Arial" w:hAnsi="Arial"/>
          <w:color w:val="7F7F7F"/>
          <w:sz w:val="17"/>
        </w:rPr>
        <w:t>Confidential – Internal Use Only  ·  Neha Sinha  ·  June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