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A Role-Based Access Control Audit and Local-First Service Architecture for an Emotion-Aware AAC Platform: SyNAPSE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1st Neha Vinod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School of Engineering and IT, Manipal Academy of Higher Education, Dubai Campus</w:t>
      </w:r>
      <w:r>
        <w:rPr>
          <w:rFonts w:ascii="Times New Roman" w:cs="Times New Roman" w:eastAsia="Times New Roman" w:hAnsi="Times New Roman"/>
          <w:sz w:val="18"/>
          <w:szCs w:val="18"/>
        </w:rPr>
        <w:br/>
        <w:t xml:space="preserve">Dubai, UAE — neha.vinod@dxb.manipal.edu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2nd Dr. Raja Varma Pamba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School of Engineering and IT, Manipal Academy of Higher Education, Dubai Campus</w:t>
      </w:r>
      <w:r>
        <w:rPr>
          <w:rFonts w:ascii="Times New Roman" w:cs="Times New Roman" w:eastAsia="Times New Roman" w:hAnsi="Times New Roman"/>
          <w:sz w:val="18"/>
          <w:szCs w:val="18"/>
        </w:rPr>
        <w:br/>
        <w:t xml:space="preserve">Dubai, UAE — pamba.rajavarma@manipaldubai.com</w:t>
      </w:r>
    </w:p>
    <w:p>
      <w:pPr>
        <w:spacing w:after="10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Abstract—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We report a role-based access control (RBAC) audit and local-first service architecture for SyNAPSE, an emotion-aware Augmentative and Alternative Communication (AAC) platform for minimally verbal children. A systematic audit of the deployed FastAPI/SQLite backend (44 REST endpoints, 2 WebSocket channels, 21 tables) located and corrected two real access-control vulnerabilities: an over-restrictive report-generation ACL incorrectly denying legitimate roles, and a variable-shadowing bug causing unauthorized probes to fail at the transport layer instead of returning a clean 403. Post-fix benchmarking across 168 authenticated requests (4 roles × 42 protected endpoint patterns) confirmed 168/168 (100%) policy-correct outcomes. The architecture additionally enforces data minimisation at the schema level: EmotionLog stores labels and confidence only (no image paths), and no binary image/video blob column exists in the schema; video_models.url holds external reference URLs only. We report reproducible system-performance benchmarks (PDF generation, WebSocket alert delivery, LLM-based card generation, rule-based fallback triggering) and, separately and clearly labelled as preliminary, a small facial-emotion-recognition pilot (n=12, 41.7% top-1 accuracy, macro-F1 = 0.500 over the three ground-truth classes present) including the diagnosed root cause of an earlier invalid 0% baseline. We present this as a software-security and systems-architecture contribution with an explicit, code-verified accounting of what is validated versus what remains open.</w:t>
      </w:r>
    </w:p>
    <w:p>
      <w:pPr>
        <w:spacing w:after="240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Index Terms—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role-based access control, software security audit, service-oriented architecture, augmentative and alternative communication, data minimisation, local large language models, facial emotion recognition, neurodiversity</w:t>
      </w:r>
    </w:p>
    <w:p>
      <w:pPr>
        <w:sectPr>
          <w:pgSz w:w="11906" w:h="16838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I. INTRODUCTION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Augmentative and Alternative Communication (AAC) systems enable minimally verbal children — including many with autism spectrum disorder and cerebral palsy — to express needs through symbols, text, or speech output. Commercial AAC tools typically use static vocabulary grids and cloud backends, which complicates real-time affect-aware adaptation and raises privacy concerns when webcam frames could be retained or transmitted off-device. Schools in inclusive-education jurisdictions additionally require audit trails for special-educational-needs (SEND) reporting without expanding biometric data retention.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Prior AAC and machine-learning prototypes typically address a single concern in isolation — either facial expression recognition, or LLM-assisted phrase generation, or multi-role dashboards — rather than combining local inference, zero-retention affect logging, multi-role API enforcement, and reproducible benchmarking in one deployable stack. SyNAPSE addresses this gap directly, and — distinctively — this paper audits its own quantitative claims against the running codebase and CSV benchmark artifacts, reporting corrections and open gaps rather than only intended behavior.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Research Questions</w:t>
      </w:r>
    </w:p>
    <w:p>
      <w:pPr>
        <w:spacing w:after="60"/>
        <w:ind w:left="2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RQ1: Can a single-machine stack meet interactive AAC latency budgets while keeping biometric-adjacent data ephemeral?</w:t>
      </w:r>
    </w:p>
    <w:p>
      <w:pPr>
        <w:spacing w:after="60"/>
        <w:ind w:left="2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RQ2: Does JWT-based RBAC enforce school-appropriate role separation across REST and WebSocket paths, and what failure modes does a direct audit surface?</w:t>
      </w:r>
    </w:p>
    <w:p>
      <w:pPr>
        <w:spacing w:after="60"/>
        <w:ind w:left="2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RQ3: Which system components — LLM JSON reliability, facial-expression integration, or report-access control — dominate observed failure modes under reproducible benchmarking?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Contributions</w:t>
      </w:r>
    </w:p>
    <w:p>
      <w:pPr>
        <w:spacing w:after="60"/>
        <w:ind w:left="2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An integrated, local-first architecture combining React, FastAPI, SQLite (21 tables), DeepFace, and Ollama llama3, with a verified zero-retention emotion-logging schema.</w:t>
      </w:r>
    </w:p>
    <w:p>
      <w:pPr>
        <w:spacing w:after="60"/>
        <w:ind w:left="2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A four-role RBAC scheme benchmarked at 168/168 (100%) policy-correct outcomes, after two corrective fixes located and applied during audit.</w:t>
      </w:r>
    </w:p>
    <w:p>
      <w:pPr>
        <w:spacing w:after="60"/>
        <w:ind w:left="2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A reproducible benchmark suite producing CSV artifacts for latency, reliability, access control, and emotion-classification accuracy.</w:t>
      </w:r>
    </w:p>
    <w:p>
      <w:pPr>
        <w:spacing w:after="60"/>
        <w:ind w:left="2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• An explicit, code-verified accounting that separates validated results (latency, RBAC) from a modest, honestly-reported preliminary emotion-recognition pilot, including the diagnosed root cause of an earlier invalid 0% baseline.</w:t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II. RELATED WORK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Ekman and Friesen's categorical model of facial expression underlies most modern facial emotion recognition (FER) tooling, including the FER-2013 benchmark used for this paper's emotion pilot. DeepFace packages deep convolutional face analysis behind an accessible API and is used here as an integration component rather than a novel classifier. Core-vocabulary AAC design (want, help, more, stop) remains the dominant basis for both unaided and aided communication tools; prior surveys note that most commercial AAC apps rely on preprogrammed symbol hierarchies that do not adapt to a user's real-time emotional state. Separately, engagement-detection research using video-based facial and physiological signals has grown as an active affective-computing thread, and local large language model deployment (via Ollama) is increasingly viable for on-device, privacy-preserving text generation. UAE educational-inclusion policy (KHDA) and general data-protection law (UAE Federal Decree-Law No. 45 of 2021) require data minimisation specifically for biometric processing, which motivates this system's schema-level, verifiable zero-retention design.</w:t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III. SYSTEM ARCHITECTURE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Design Principles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Local-first: DeepFace and Ollama run on the same machine as the API, with no external SaaS dependency. Data minimisation: the EmotionLog table stores only emotion_label, confidence, intensity, and timestamp — no image path column. Graceful degradation: malformed LLM JSON output triggers a deterministic rule-based card template rather than an empty AAC board. Role separation: JWT claims gate each router, and child–teacher–caregiver foreign keys scope every query.</w:t>
      </w:r>
    </w:p>
    <w:p>
      <w:pPr>
        <w:spacing w:before="120"/>
        <w:jc w:val="center"/>
      </w:pPr>
      <w:r>
        <w:drawing>
          <wp:inline distT="0" distB="0" distL="0" distR="0">
            <wp:extent cx="2762250" cy="1343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Fig. 1. Local-first SyNAPSE architecture. Webcam frames are processed in memory; only derived affect labels persist to SQLite.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Session and Alert Pipeline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Emotion capture is user-triggered, not continuous polling. POST /api/emotion/detect resizes each frame to a maximum dimension of 320px, runs DeepFace with an OpenCV detector backend under a threading lock, writes an EmotionLog row, and evaluates an alert condition when the predicted emotion is in a cautious set (sad, angry, fear, disgust, ...) and confidence exceeds a configurable threshold (default 0.35), broadcasting over /ws/alerts. POST /api/cards/generate then queries Ollama (120 s timeout) and assembles a 16-card board.</w:t>
      </w:r>
    </w:p>
    <w:p>
      <w:pPr>
        <w:spacing w:before="120"/>
        <w:jc w:val="center"/>
      </w:pPr>
      <w:r>
        <w:drawing>
          <wp:inline distT="0" distB="0" distL="0" distR="0">
            <wp:extent cx="2762250" cy="1228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Fig. 2. On-demand emotion detection, zero-retention logging, optional WebSocket alert, and adaptive card generation.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Alert and Preprocessing Rules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Alert triggering (alert_service.py): the cautious-emotion set is {sad, angry, fear, disgust, distress, scared, frustrated}; MIN_ALERT_CONFIDENCE = 0.35; ALERT_COOLDOWN_SECONDS = 45 to limit caregiver notification fatigue. DeepFace preprocessing (deepface_service.py): frames are capped at 320px on the longest dimension, passed through a Haar-cascade face crop, histogram-equalized, and upscaled to 224px for small crops; a placeholder/blank-image rejection check runs before inference, and a threading.Lock serializes concurrent DeepFace calls. Allowed output labels are the seven DeepFace classes {happy, sad, angry, fear, disgust, surprise, neutral}.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Technology Stack</w:t>
      </w:r>
    </w:p>
    <w:tbl>
      <w:tblPr>
        <w:tblW w:type="dxa" w:w="4680"/>
        <w:tblBorders>
          <w:top w:val="single" w:color="000000" w:sz="4"/>
          <w:left w:val="nil"/>
          <w:bottom w:val="single" w:color="000000" w:sz="4"/>
          <w:right w:val="nil"/>
          <w:insideH w:val="single" w:color="999999" w:sz="2"/>
          <w:insideV w:val="nil"/>
        </w:tblBorders>
      </w:tblPr>
      <w:tblGrid>
        <w:gridCol w:w="1800"/>
        <w:gridCol w:w="2880"/>
      </w:tblGrid>
      <w:tr>
        <w:trPr>
          <w:tblHeader/>
        </w:trPr>
        <w:tc>
          <w:tcPr>
            <w:tcW w:type="dxa" w:w="18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Layer</w:t>
            </w:r>
          </w:p>
        </w:tc>
        <w:tc>
          <w:tcPr>
            <w:tcW w:type="dxa" w:w="288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Choice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Frontend</w:t>
            </w:r>
          </w:p>
        </w:tc>
        <w:tc>
          <w:tcPr>
            <w:tcW w:type="dxa" w:w="2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React 18, Vite, TailwindCSS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API</w:t>
            </w:r>
          </w:p>
        </w:tc>
        <w:tc>
          <w:tcPr>
            <w:tcW w:type="dxa" w:w="2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FastAPI, Uvicorn, python-jose JWT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Persistence</w:t>
            </w:r>
          </w:p>
        </w:tc>
        <w:tc>
          <w:tcPr>
            <w:tcW w:type="dxa" w:w="2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SQLite, SQLAlchemy (21 tables)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Expression</w:t>
            </w:r>
          </w:p>
        </w:tc>
        <w:tc>
          <w:tcPr>
            <w:tcW w:type="dxa" w:w="2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DeepFace, OpenCV detector, 320px cap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LLM</w:t>
            </w:r>
          </w:p>
        </w:tc>
        <w:tc>
          <w:tcPr>
            <w:tcW w:type="dxa" w:w="2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Ollama llama3, JSON parse + rule fallback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Reports</w:t>
            </w:r>
          </w:p>
        </w:tc>
        <w:tc>
          <w:tcPr>
            <w:tcW w:type="dxa" w:w="2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ReportLab (A4 PDF)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Realtime</w:t>
            </w:r>
          </w:p>
        </w:tc>
        <w:tc>
          <w:tcPr>
            <w:tcW w:type="dxa" w:w="2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/ws/session/{id}, /ws/alerts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TABLE I. Technology stack (deployed prototype).</w:t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IV. IMPLEMENTATION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API Surface and RBAC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SyNAPSE exposes 44 REST endpoints across 10 functional routers plus / and /health in main.py, and 2 WebSocket channels — 46 total surfaces. Four roles are supported: student, teacher, caregiver, and send_officer. Students are bound to their own child profile; teachers and caregivers are scoped via foreign keys; SEND officers access assessment and school-reporting dashboards.</w:t>
      </w:r>
    </w:p>
    <w:tbl>
      <w:tblPr>
        <w:tblW w:type="dxa" w:w="4680"/>
        <w:tblBorders>
          <w:top w:val="single" w:color="000000" w:sz="4"/>
          <w:left w:val="nil"/>
          <w:bottom w:val="single" w:color="000000" w:sz="4"/>
          <w:right w:val="nil"/>
          <w:insideH w:val="single" w:color="999999" w:sz="2"/>
          <w:insideV w:val="nil"/>
        </w:tblBorders>
      </w:tblPr>
      <w:tblGrid>
        <w:gridCol w:w="1600"/>
        <w:gridCol w:w="2200"/>
        <w:gridCol w:w="880"/>
      </w:tblGrid>
      <w:tr>
        <w:trPr>
          <w:tblHeader/>
        </w:trPr>
        <w:tc>
          <w:tcPr>
            <w:tcW w:type="dxa" w:w="16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Router</w:t>
            </w:r>
          </w:p>
        </w:tc>
        <w:tc>
          <w:tcPr>
            <w:tcW w:type="dxa" w:w="22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Prefix</w:t>
            </w:r>
          </w:p>
        </w:tc>
        <w:tc>
          <w:tcPr>
            <w:tcW w:type="dxa" w:w="88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#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auth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/auth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children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/api/children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sessions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/api/sessions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emotion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/api/emotion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cards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/api/cards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assessments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/api/assessments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reports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/api/reports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send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/api/send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teacher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/teacher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alerts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/api/alerts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support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/api/support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main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/, /health</w:t>
            </w:r>
          </w:p>
        </w:tc>
        <w:tc>
          <w:tcPr>
            <w:tcW w:type="dxa" w:w="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TABLE II. REST endpoint counts by router (WebSockets counted separately).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AAC Card Model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cards_service.py returns exactly 16 cards per board: eight bilingual core-vocabulary symbols, four emotion-matched cards keyed to the detected label, and four topic-specific cards drawn from LLM output when at least six valid labels are returned, otherwise from a deterministic rule-based fallback. Card selections persist with the emotion recorded at selection time, supporting later session analytics. Benchmark topics used for LLM generation: school, home, play, food, feelings, body.</w:t>
      </w:r>
    </w:p>
    <w:tbl>
      <w:tblPr>
        <w:tblW w:type="dxa" w:w="4680"/>
        <w:tblBorders>
          <w:top w:val="single" w:color="000000" w:sz="4"/>
          <w:left w:val="nil"/>
          <w:bottom w:val="single" w:color="000000" w:sz="4"/>
          <w:right w:val="nil"/>
          <w:insideH w:val="single" w:color="999999" w:sz="2"/>
          <w:insideV w:val="nil"/>
        </w:tblBorders>
      </w:tblPr>
      <w:tblGrid>
        <w:gridCol w:w="2340"/>
        <w:gridCol w:w="2340"/>
      </w:tblGrid>
      <w:tr>
        <w:trPr>
          <w:tblHeader/>
        </w:trPr>
        <w:tc>
          <w:tcPr>
            <w:tcW w:type="dxa" w:w="23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English</w:t>
            </w:r>
          </w:p>
        </w:tc>
        <w:tc>
          <w:tcPr>
            <w:tcW w:type="dxa" w:w="234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Arabic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 want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أريد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Stop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توقف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More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المزيد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All done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انتهى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 need help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أحتاج مساعدة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نعم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لا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Wait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انتظر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TABLE III. The eight fixed bilingual core-vocabulary cards.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Database Schema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21-table SQLite schema comprises: users, children, sessions, emotion_logs, card_selections, emotion_alerts, assessments, routine_templates, routine_steps, sensory_profiles, calm_corner_sessions, break_activities, break_logs, reward_goals, reward_events, badges, video_models, self_reports, display_preferences, shared_notes, and pre_event_plans. EmotionLog explicitly forbids image storage; video_models.url stores external reference URLs only (no binary blobs).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Evaluation Accounts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Benchmarks were run against five seeded development accounts spanning all four roles (Table IV), used exclusively for local, non-production testing.</w:t>
      </w:r>
    </w:p>
    <w:tbl>
      <w:tblPr>
        <w:tblW w:type="dxa" w:w="4680"/>
        <w:tblBorders>
          <w:top w:val="single" w:color="000000" w:sz="4"/>
          <w:left w:val="nil"/>
          <w:bottom w:val="single" w:color="000000" w:sz="4"/>
          <w:right w:val="nil"/>
          <w:insideH w:val="single" w:color="999999" w:sz="2"/>
          <w:insideV w:val="nil"/>
        </w:tblBorders>
      </w:tblPr>
      <w:tblGrid>
        <w:gridCol w:w="1400"/>
        <w:gridCol w:w="1400"/>
        <w:gridCol w:w="1880"/>
      </w:tblGrid>
      <w:tr>
        <w:trPr>
          <w:tblHeader/>
        </w:trPr>
        <w:tc>
          <w:tcPr>
            <w:tcW w:type="dxa" w:w="14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Username</w:t>
            </w:r>
          </w:p>
        </w:tc>
        <w:tc>
          <w:tcPr>
            <w:tcW w:type="dxa" w:w="14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Role</w:t>
            </w:r>
          </w:p>
        </w:tc>
        <w:tc>
          <w:tcPr>
            <w:tcW w:type="dxa" w:w="188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Full name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student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student</w:t>
            </w:r>
          </w:p>
        </w:tc>
        <w:tc>
          <w:tcPr>
            <w:tcW w:type="dxa" w:w="1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Ahmed Al Mansoori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teacher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teacher</w:t>
            </w:r>
          </w:p>
        </w:tc>
        <w:tc>
          <w:tcPr>
            <w:tcW w:type="dxa" w:w="1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Ms. Sarah Ahmed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teacher2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teacher</w:t>
            </w:r>
          </w:p>
        </w:tc>
        <w:tc>
          <w:tcPr>
            <w:tcW w:type="dxa" w:w="1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Mr. James Wilson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caregiver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caregiver</w:t>
            </w:r>
          </w:p>
        </w:tc>
        <w:tc>
          <w:tcPr>
            <w:tcW w:type="dxa" w:w="1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Fatima Al Rashidi</w:t>
            </w:r>
          </w:p>
        </w:tc>
      </w:tr>
      <w:tr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sendofficer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send_officer</w:t>
            </w:r>
          </w:p>
        </w:tc>
        <w:tc>
          <w:tcPr>
            <w:tcW w:type="dxa" w:w="18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Dr. Khalid Al Mansoori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TABLE IV. Seeded development accounts used for benchmarking (credentials omitted).</w:t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V. EVALUATION METHODOLOGY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Eight benchmark scripts under synapse/tests/evaluation/ write reproducible CSV artifacts to results/ (Table V), covering PDF generation, LLM card generation, WebSocket alert latency, LLM fallback triggering, role-access control, alert-threshold sensitivity, emotion-detection accuracy, and functional coverage.</w:t>
      </w:r>
    </w:p>
    <w:tbl>
      <w:tblPr>
        <w:tblW w:type="dxa" w:w="4680"/>
        <w:tblBorders>
          <w:top w:val="single" w:color="000000" w:sz="4"/>
          <w:left w:val="nil"/>
          <w:bottom w:val="single" w:color="000000" w:sz="4"/>
          <w:right w:val="nil"/>
          <w:insideH w:val="single" w:color="999999" w:sz="2"/>
          <w:insideV w:val="nil"/>
        </w:tblBorders>
      </w:tblPr>
      <w:tblGrid>
        <w:gridCol w:w="2500"/>
        <w:gridCol w:w="2180"/>
      </w:tblGrid>
      <w:tr>
        <w:trPr>
          <w:tblHeader/>
        </w:trPr>
        <w:tc>
          <w:tcPr>
            <w:tcW w:type="dxa" w:w="2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Benchmark script</w:t>
            </w:r>
          </w:p>
        </w:tc>
        <w:tc>
          <w:tcPr>
            <w:tcW w:type="dxa" w:w="218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Output CSV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bench_pdf_generation.py</w:t>
            </w:r>
          </w:p>
        </w:tc>
        <w:tc>
          <w:tcPr>
            <w:tcW w:type="dxa" w:w="21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pdf_generation_benchmark.csv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bench_llm_card_generation.py</w:t>
            </w:r>
          </w:p>
        </w:tc>
        <w:tc>
          <w:tcPr>
            <w:tcW w:type="dxa" w:w="21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llm_card_generation_benchmark.csv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bench_websocket_latency.py</w:t>
            </w:r>
          </w:p>
        </w:tc>
        <w:tc>
          <w:tcPr>
            <w:tcW w:type="dxa" w:w="21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websocket_latency.csv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bench_fallback_trigger_rate.py</w:t>
            </w:r>
          </w:p>
        </w:tc>
        <w:tc>
          <w:tcPr>
            <w:tcW w:type="dxa" w:w="21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fallback_trigger_rate.csv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bench_emotion_detection_accuracy.py</w:t>
            </w:r>
          </w:p>
        </w:tc>
        <w:tc>
          <w:tcPr>
            <w:tcW w:type="dxa" w:w="21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emotion_detection_accuracy.csv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bench_alert_precision_recall.py</w:t>
            </w:r>
          </w:p>
        </w:tc>
        <w:tc>
          <w:tcPr>
            <w:tcW w:type="dxa" w:w="21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alert_precision_recall.csv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bench_role_access_matrix.py</w:t>
            </w:r>
          </w:p>
        </w:tc>
        <w:tc>
          <w:tcPr>
            <w:tcW w:type="dxa" w:w="21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role_access_matrix.csv</w:t>
            </w:r>
          </w:p>
        </w:tc>
      </w:tr>
      <w:tr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bench_functional_coverage.py</w:t>
            </w:r>
          </w:p>
        </w:tc>
        <w:tc>
          <w:tcPr>
            <w:tcW w:type="dxa" w:w="21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functional_test_coverage.csv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TABLE V. Benchmark script inventory and CSV outputs.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 starter pytest suite (13 tests, Table VI) covers authentication, RBAC, and the emotion pipeline; a separate endpoint-level coverage inventory (functional_test_coverage.csv, 46 rows) shows direct per-endpoint test mapping for 3 of 46 surfaces, indicating the pytest suite currently exercises shared logic paths rather than providing full per-endpoint coverage — an open item for future work.</w:t>
      </w:r>
    </w:p>
    <w:tbl>
      <w:tblPr>
        <w:tblW w:type="dxa" w:w="4680"/>
        <w:tblBorders>
          <w:top w:val="single" w:color="000000" w:sz="4"/>
          <w:left w:val="nil"/>
          <w:bottom w:val="single" w:color="000000" w:sz="4"/>
          <w:right w:val="nil"/>
          <w:insideH w:val="single" w:color="999999" w:sz="2"/>
          <w:insideV w:val="nil"/>
        </w:tblBorders>
      </w:tblPr>
      <w:tblGrid>
        <w:gridCol w:w="1500"/>
        <w:gridCol w:w="500"/>
        <w:gridCol w:w="2680"/>
      </w:tblGrid>
      <w:tr>
        <w:trPr>
          <w:tblHeader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Test file</w:t>
            </w:r>
          </w:p>
        </w:tc>
        <w:tc>
          <w:tcPr>
            <w:tcW w:type="dxa" w:w="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Tests</w:t>
            </w:r>
          </w:p>
        </w:tc>
        <w:tc>
          <w:tcPr>
            <w:tcW w:type="dxa" w:w="268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Covers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test_auth.py</w:t>
            </w:r>
          </w:p>
        </w:tc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2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login, wrong password, protected route, valid token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test_rbac.py</w:t>
            </w:r>
          </w:p>
        </w:tc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2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report access ×4 roles; teacher 403 ×3 roles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test_emotion_pipeline.py</w:t>
            </w:r>
          </w:p>
        </w:tc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real face label; blank image handling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TABLE VI. Automated pytest suite (13 tests total).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Hardware: single developer workstation, CPU-only inference, local Ollama. Benchmark run date: 2026-09-01 UTC. Threats to validity: single-machine measurement, seeded/simulated data, no child participants; the emotion-recognition pilot uses n=12 real face crops spanning only 3 of 7 target emotion classes, which is insufficient for any generalizable accuracy claim.</w:t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VI. RESULTS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Latency and Reliability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Table VII reports verified statistics computed directly from the current benchmark CSV outputs. LLM card-generation latency is right-skewed (median 7.36 s below mean 10.56 s), with four runs exceeding 20 s (max 36.18 s). All 22 fallback events (18.3% of 120 trials) were triggered by malformed JSON output; no timeout-triggered fallbacks occurred in this run.</w:t>
      </w:r>
    </w:p>
    <w:tbl>
      <w:tblPr>
        <w:tblW w:type="dxa" w:w="4880"/>
        <w:tblBorders>
          <w:top w:val="single" w:color="000000" w:sz="4"/>
          <w:left w:val="nil"/>
          <w:bottom w:val="single" w:color="000000" w:sz="4"/>
          <w:right w:val="nil"/>
          <w:insideH w:val="single" w:color="999999" w:sz="2"/>
          <w:insideV w:val="nil"/>
        </w:tblBorders>
      </w:tblPr>
      <w:tblGrid>
        <w:gridCol w:w="1980"/>
        <w:gridCol w:w="620"/>
        <w:gridCol w:w="780"/>
        <w:gridCol w:w="780"/>
        <w:gridCol w:w="720"/>
      </w:tblGrid>
      <w:tr>
        <w:trPr>
          <w:tblHeader/>
        </w:trPr>
        <w:tc>
          <w:tcPr>
            <w:tcW w:type="dxa" w:w="198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62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n</w:t>
            </w:r>
          </w:p>
        </w:tc>
        <w:tc>
          <w:tcPr>
            <w:tcW w:type="dxa" w:w="78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Mean</w:t>
            </w:r>
          </w:p>
        </w:tc>
        <w:tc>
          <w:tcPr>
            <w:tcW w:type="dxa" w:w="78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Med.</w:t>
            </w:r>
          </w:p>
        </w:tc>
        <w:tc>
          <w:tcPr>
            <w:tcW w:type="dxa" w:w="72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Max</w:t>
            </w:r>
          </w:p>
        </w:tc>
      </w:tr>
      <w:tr>
        <w:tc>
          <w:tcPr>
            <w:tcW w:type="dxa" w:w="19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PDF generation (s)</w:t>
            </w:r>
          </w:p>
        </w:tc>
        <w:tc>
          <w:tcPr>
            <w:tcW w:type="dxa" w:w="62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7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0.317</w:t>
            </w:r>
          </w:p>
        </w:tc>
        <w:tc>
          <w:tcPr>
            <w:tcW w:type="dxa" w:w="7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0.199</w:t>
            </w:r>
          </w:p>
        </w:tc>
        <w:tc>
          <w:tcPr>
            <w:tcW w:type="dxa" w:w="72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1.010</w:t>
            </w:r>
          </w:p>
        </w:tc>
      </w:tr>
      <w:tr>
        <w:tc>
          <w:tcPr>
            <w:tcW w:type="dxa" w:w="19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LLM card gen. (s)</w:t>
            </w:r>
          </w:p>
        </w:tc>
        <w:tc>
          <w:tcPr>
            <w:tcW w:type="dxa" w:w="62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36</w:t>
            </w:r>
          </w:p>
        </w:tc>
        <w:tc>
          <w:tcPr>
            <w:tcW w:type="dxa" w:w="7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10.56</w:t>
            </w:r>
          </w:p>
        </w:tc>
        <w:tc>
          <w:tcPr>
            <w:tcW w:type="dxa" w:w="7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7.36</w:t>
            </w:r>
          </w:p>
        </w:tc>
        <w:tc>
          <w:tcPr>
            <w:tcW w:type="dxa" w:w="72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36.18</w:t>
            </w:r>
          </w:p>
        </w:tc>
      </w:tr>
      <w:tr>
        <w:tc>
          <w:tcPr>
            <w:tcW w:type="dxa" w:w="19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WebSocket alert (s)</w:t>
            </w:r>
          </w:p>
        </w:tc>
        <w:tc>
          <w:tcPr>
            <w:tcW w:type="dxa" w:w="62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30</w:t>
            </w:r>
          </w:p>
        </w:tc>
        <w:tc>
          <w:tcPr>
            <w:tcW w:type="dxa" w:w="7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0.724</w:t>
            </w:r>
          </w:p>
        </w:tc>
        <w:tc>
          <w:tcPr>
            <w:tcW w:type="dxa" w:w="7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0.698</w:t>
            </w:r>
          </w:p>
        </w:tc>
        <w:tc>
          <w:tcPr>
            <w:tcW w:type="dxa" w:w="72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1.233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TABLE VII. Performance benchmarks, computed from current CSV artifacts.</w:t>
      </w:r>
    </w:p>
    <w:p>
      <w:pPr>
        <w:spacing w:after="160"/>
      </w:pPr>
      <w:r>
        <w:rPr>
          <w:rFonts w:ascii="Times New Roman" w:cs="Times New Roman" w:eastAsia="Times New Roman" w:hAnsi="Times New Roman"/>
          <w:i/>
          <w:iCs/>
          <w:sz w:val="17"/>
          <w:szCs w:val="17"/>
        </w:rPr>
        <w:t xml:space="preserve">LLM fallback: 22 of 120 trials (18.3%) — all triggered by malformed JSON output; no timeouts observed.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Role-Based Access Control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168 authenticated requests (4 roles × 42 protected endpoint patterns) were executed against the deployed API. All 168 (100%) matched expected policy, following two corrective fixes located during audit and confirmed against the current benchmark run. Prior to the fixes, 10 of 168 probes failed: 4 were genuine over-restrictive denials on session report/PDF routes, and 6 were teacher-dashboard routes returning a transport-level status 0 instead of a clean 403 for unauthorized roles.</w:t>
      </w:r>
    </w:p>
    <w:tbl>
      <w:tblPr>
        <w:tblW w:type="dxa" w:w="4680"/>
        <w:tblBorders>
          <w:top w:val="single" w:color="000000" w:sz="4"/>
          <w:left w:val="nil"/>
          <w:bottom w:val="single" w:color="000000" w:sz="4"/>
          <w:right w:val="nil"/>
          <w:insideH w:val="single" w:color="999999" w:sz="2"/>
          <w:insideV w:val="nil"/>
        </w:tblBorders>
      </w:tblPr>
      <w:tblGrid>
        <w:gridCol w:w="1500"/>
        <w:gridCol w:w="3180"/>
      </w:tblGrid>
      <w:tr>
        <w:trPr>
          <w:tblHeader/>
        </w:trPr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Check</w:t>
            </w:r>
          </w:p>
        </w:tc>
        <w:tc>
          <w:tcPr>
            <w:tcW w:type="dxa" w:w="318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Result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Total probes</w:t>
            </w:r>
          </w:p>
        </w:tc>
        <w:tc>
          <w:tcPr>
            <w:tcW w:type="dxa" w:w="31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168 (4 roles × 42 protected patterns)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Policy-correct</w:t>
            </w:r>
          </w:p>
        </w:tc>
        <w:tc>
          <w:tcPr>
            <w:tcW w:type="dxa" w:w="31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168 (100%)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Fix A</w:t>
            </w:r>
          </w:p>
        </w:tc>
        <w:tc>
          <w:tcPr>
            <w:tcW w:type="dxa" w:w="31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reports_router.py — student/SEND-officer report access (was 403, now 200)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Fix B</w:t>
            </w:r>
          </w:p>
        </w:tc>
        <w:tc>
          <w:tcPr>
            <w:tcW w:type="dxa" w:w="31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teacher_router.py — variable-shadowing bug causing status-0 transport errors on unauthorized probes; now returns clean 403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TABLE VIII. Role-based access control audit outcome.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Emotion Recognition Pilot (Preliminary)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An earlier benchmark run reported 0/12 accuracy; inspection traced this to placeholder fixture images (flat-colored rectangles with a featureless gray oval, containing no facial structure) combined with a permissive face-detection setting that allowed DeepFace to return a confident label on non-facial input. After replacing these fixtures with real face crops, the current benchmark yields 41.7% top-1 accuracy (5/12, Table IX). Macro-F1 depends on the label set used: 0.500 when computed over only the three ground-truth classes present in this pilot (angry, disgust, fear), or 0.30 when neutral and sad are also scored as label categories (union of predicted labels). Table X gives the full per-frame breakdown.</w:t>
      </w:r>
    </w:p>
    <w:tbl>
      <w:tblPr>
        <w:tblW w:type="dxa" w:w="4680"/>
        <w:tblBorders>
          <w:top w:val="single" w:color="000000" w:sz="4"/>
          <w:left w:val="nil"/>
          <w:bottom w:val="single" w:color="000000" w:sz="4"/>
          <w:right w:val="nil"/>
          <w:insideH w:val="single" w:color="999999" w:sz="2"/>
          <w:insideV w:val="nil"/>
        </w:tblBorders>
      </w:tblPr>
      <w:tblGrid>
        <w:gridCol w:w="1580"/>
        <w:gridCol w:w="1500"/>
        <w:gridCol w:w="1600"/>
      </w:tblGrid>
      <w:tr>
        <w:trPr>
          <w:tblHeader/>
        </w:trPr>
        <w:tc>
          <w:tcPr>
            <w:tcW w:type="dxa" w:w="158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16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5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Top-1 accuracy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41.7% (5/12)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3-class subset only</w:t>
            </w:r>
          </w:p>
        </w:tc>
      </w:tr>
      <w:tr>
        <w:tc>
          <w:tcPr>
            <w:tcW w:type="dxa" w:w="15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Macro-F1 (present classes)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0.500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over angry/disgust/fear only</w:t>
            </w:r>
          </w:p>
        </w:tc>
      </w:tr>
      <w:tr>
        <w:tc>
          <w:tcPr>
            <w:tcW w:type="dxa" w:w="15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Macro-F1 (all predicted)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0.30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incl. neutral/sad as label classes</w:t>
            </w:r>
          </w:p>
        </w:tc>
      </w:tr>
      <w:tr>
        <w:tc>
          <w:tcPr>
            <w:tcW w:type="dxa" w:w="15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Classes present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angry(5), disgust(5), fear(2)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not balanced across 7 classes</w:t>
            </w:r>
          </w:p>
        </w:tc>
      </w:tr>
      <w:tr>
        <w:tc>
          <w:tcPr>
            <w:tcW w:type="dxa" w:w="15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Best-recognized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fear (2/2)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small n</w:t>
            </w:r>
          </w:p>
        </w:tc>
      </w:tr>
      <w:tr>
        <w:tc>
          <w:tcPr>
            <w:tcW w:type="dxa" w:w="15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Weakest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disgust (1/5)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confused with sad/fear/neutral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TABLE IX. Preliminary emotion-recognition pilot summary (n=12).</w:t>
      </w:r>
    </w:p>
    <w:tbl>
      <w:tblPr>
        <w:tblW w:type="dxa" w:w="4180"/>
        <w:tblBorders>
          <w:top w:val="single" w:color="000000" w:sz="4"/>
          <w:left w:val="nil"/>
          <w:bottom w:val="single" w:color="000000" w:sz="4"/>
          <w:right w:val="nil"/>
          <w:insideH w:val="single" w:color="999999" w:sz="2"/>
          <w:insideV w:val="nil"/>
        </w:tblBorders>
      </w:tblPr>
      <w:tblGrid>
        <w:gridCol w:w="800"/>
        <w:gridCol w:w="1080"/>
        <w:gridCol w:w="1080"/>
        <w:gridCol w:w="700"/>
        <w:gridCol w:w="520"/>
      </w:tblGrid>
      <w:tr>
        <w:trPr>
          <w:tblHeader/>
        </w:trPr>
        <w:tc>
          <w:tcPr>
            <w:tcW w:type="dxa" w:w="8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Frame</w:t>
            </w:r>
          </w:p>
        </w:tc>
        <w:tc>
          <w:tcPr>
            <w:tcW w:type="dxa" w:w="108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Truth</w:t>
            </w:r>
          </w:p>
        </w:tc>
        <w:tc>
          <w:tcPr>
            <w:tcW w:type="dxa" w:w="108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Pred.</w:t>
            </w:r>
          </w:p>
        </w:tc>
        <w:tc>
          <w:tcPr>
            <w:tcW w:type="dxa" w:w="7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Conf.</w:t>
            </w:r>
          </w:p>
        </w:tc>
        <w:tc>
          <w:tcPr>
            <w:tcW w:type="dxa" w:w="52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OK</w:t>
            </w:r>
          </w:p>
        </w:tc>
      </w:tr>
      <w:tr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f001</w:t>
            </w:r>
          </w:p>
        </w:tc>
        <w:tc>
          <w:tcPr>
            <w:tcW w:type="dxa" w:w="10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angry</w:t>
            </w:r>
          </w:p>
        </w:tc>
        <w:tc>
          <w:tcPr>
            <w:tcW w:type="dxa" w:w="10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fear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0.72</w:t>
            </w:r>
          </w:p>
        </w:tc>
        <w:tc>
          <w:tcPr>
            <w:tcW w:type="dxa" w:w="52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</w:tr>
      <w:tr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f002</w:t>
            </w:r>
          </w:p>
        </w:tc>
        <w:tc>
          <w:tcPr>
            <w:tcW w:type="dxa" w:w="10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angry</w:t>
            </w:r>
          </w:p>
        </w:tc>
        <w:tc>
          <w:tcPr>
            <w:tcW w:type="dxa" w:w="10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neutral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0.90</w:t>
            </w:r>
          </w:p>
        </w:tc>
        <w:tc>
          <w:tcPr>
            <w:tcW w:type="dxa" w:w="52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</w:tr>
      <w:tr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f003</w:t>
            </w:r>
          </w:p>
        </w:tc>
        <w:tc>
          <w:tcPr>
            <w:tcW w:type="dxa" w:w="10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angry</w:t>
            </w:r>
          </w:p>
        </w:tc>
        <w:tc>
          <w:tcPr>
            <w:tcW w:type="dxa" w:w="10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angry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0.95</w:t>
            </w:r>
          </w:p>
        </w:tc>
        <w:tc>
          <w:tcPr>
            <w:tcW w:type="dxa" w:w="52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</w:tr>
      <w:tr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f004</w:t>
            </w:r>
          </w:p>
        </w:tc>
        <w:tc>
          <w:tcPr>
            <w:tcW w:type="dxa" w:w="10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angry</w:t>
            </w:r>
          </w:p>
        </w:tc>
        <w:tc>
          <w:tcPr>
            <w:tcW w:type="dxa" w:w="10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angry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1.00</w:t>
            </w:r>
          </w:p>
        </w:tc>
        <w:tc>
          <w:tcPr>
            <w:tcW w:type="dxa" w:w="52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</w:tr>
      <w:tr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f005</w:t>
            </w:r>
          </w:p>
        </w:tc>
        <w:tc>
          <w:tcPr>
            <w:tcW w:type="dxa" w:w="10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angry</w:t>
            </w:r>
          </w:p>
        </w:tc>
        <w:tc>
          <w:tcPr>
            <w:tcW w:type="dxa" w:w="10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sad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0.40</w:t>
            </w:r>
          </w:p>
        </w:tc>
        <w:tc>
          <w:tcPr>
            <w:tcW w:type="dxa" w:w="52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</w:tr>
      <w:tr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f006</w:t>
            </w:r>
          </w:p>
        </w:tc>
        <w:tc>
          <w:tcPr>
            <w:tcW w:type="dxa" w:w="10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disgust</w:t>
            </w:r>
          </w:p>
        </w:tc>
        <w:tc>
          <w:tcPr>
            <w:tcW w:type="dxa" w:w="10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sad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0.98</w:t>
            </w:r>
          </w:p>
        </w:tc>
        <w:tc>
          <w:tcPr>
            <w:tcW w:type="dxa" w:w="52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</w:tr>
      <w:tr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f007</w:t>
            </w:r>
          </w:p>
        </w:tc>
        <w:tc>
          <w:tcPr>
            <w:tcW w:type="dxa" w:w="10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disgust</w:t>
            </w:r>
          </w:p>
        </w:tc>
        <w:tc>
          <w:tcPr>
            <w:tcW w:type="dxa" w:w="10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angry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0.53</w:t>
            </w:r>
          </w:p>
        </w:tc>
        <w:tc>
          <w:tcPr>
            <w:tcW w:type="dxa" w:w="52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</w:tr>
      <w:tr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f008</w:t>
            </w:r>
          </w:p>
        </w:tc>
        <w:tc>
          <w:tcPr>
            <w:tcW w:type="dxa" w:w="10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disgust</w:t>
            </w:r>
          </w:p>
        </w:tc>
        <w:tc>
          <w:tcPr>
            <w:tcW w:type="dxa" w:w="10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fear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1.00</w:t>
            </w:r>
          </w:p>
        </w:tc>
        <w:tc>
          <w:tcPr>
            <w:tcW w:type="dxa" w:w="52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</w:tr>
      <w:tr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f009</w:t>
            </w:r>
          </w:p>
        </w:tc>
        <w:tc>
          <w:tcPr>
            <w:tcW w:type="dxa" w:w="10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disgust</w:t>
            </w:r>
          </w:p>
        </w:tc>
        <w:tc>
          <w:tcPr>
            <w:tcW w:type="dxa" w:w="10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disgust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0.99</w:t>
            </w:r>
          </w:p>
        </w:tc>
        <w:tc>
          <w:tcPr>
            <w:tcW w:type="dxa" w:w="52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</w:tr>
      <w:tr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f010</w:t>
            </w:r>
          </w:p>
        </w:tc>
        <w:tc>
          <w:tcPr>
            <w:tcW w:type="dxa" w:w="10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disgust</w:t>
            </w:r>
          </w:p>
        </w:tc>
        <w:tc>
          <w:tcPr>
            <w:tcW w:type="dxa" w:w="10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neutral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0.59</w:t>
            </w:r>
          </w:p>
        </w:tc>
        <w:tc>
          <w:tcPr>
            <w:tcW w:type="dxa" w:w="52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N</w:t>
            </w:r>
          </w:p>
        </w:tc>
      </w:tr>
      <w:tr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f011</w:t>
            </w:r>
          </w:p>
        </w:tc>
        <w:tc>
          <w:tcPr>
            <w:tcW w:type="dxa" w:w="10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fear</w:t>
            </w:r>
          </w:p>
        </w:tc>
        <w:tc>
          <w:tcPr>
            <w:tcW w:type="dxa" w:w="10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fear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0.74</w:t>
            </w:r>
          </w:p>
        </w:tc>
        <w:tc>
          <w:tcPr>
            <w:tcW w:type="dxa" w:w="52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</w:tr>
      <w:tr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f012</w:t>
            </w:r>
          </w:p>
        </w:tc>
        <w:tc>
          <w:tcPr>
            <w:tcW w:type="dxa" w:w="10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fear</w:t>
            </w:r>
          </w:p>
        </w:tc>
        <w:tc>
          <w:tcPr>
            <w:tcW w:type="dxa" w:w="10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fear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0.96</w:t>
            </w:r>
          </w:p>
        </w:tc>
        <w:tc>
          <w:tcPr>
            <w:tcW w:type="dxa" w:w="52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Y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TABLE X. Per-frame emotion pilot results (emotion_detection_accuracy.csv).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We report this modest result directly rather than substituting a more favorable unverified figure: the current fixture set covers only 3 of 7 target emotion classes and is imbalanced (5 angry, 5 disgust, 2 fear), so this pilot demonstrates that the pipeline is now measuring something real, not that classifier accuracy is validated.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Alert Threshold Sensitivity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Table XI reports precision and recall of the distress-alert trigger at three confidence thresholds on the same 12-frame set. Precision is perfect (no false alarms) at all three thresholds tested; recall degrades from 0.833 at 0.25–0.35 to 0.750 at 0.45. Frames f002 and f010 are missed at every tested threshold, both predicted 'neutral' rather than a cautious label.</w:t>
      </w:r>
    </w:p>
    <w:tbl>
      <w:tblPr>
        <w:tblW w:type="dxa" w:w="5180"/>
        <w:tblBorders>
          <w:top w:val="single" w:color="000000" w:sz="4"/>
          <w:left w:val="nil"/>
          <w:bottom w:val="single" w:color="000000" w:sz="4"/>
          <w:right w:val="nil"/>
          <w:insideH w:val="single" w:color="999999" w:sz="2"/>
          <w:insideV w:val="nil"/>
        </w:tblBorders>
      </w:tblPr>
      <w:tblGrid>
        <w:gridCol w:w="1600"/>
        <w:gridCol w:w="1200"/>
        <w:gridCol w:w="1200"/>
        <w:gridCol w:w="1180"/>
      </w:tblGrid>
      <w:tr>
        <w:trPr>
          <w:tblHeader/>
        </w:trPr>
        <w:tc>
          <w:tcPr>
            <w:tcW w:type="dxa" w:w="16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Threshold</w:t>
            </w:r>
          </w:p>
        </w:tc>
        <w:tc>
          <w:tcPr>
            <w:tcW w:type="dxa" w:w="12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Precision</w:t>
            </w:r>
          </w:p>
        </w:tc>
        <w:tc>
          <w:tcPr>
            <w:tcW w:type="dxa" w:w="120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Recall</w:t>
            </w:r>
          </w:p>
        </w:tc>
        <w:tc>
          <w:tcPr>
            <w:tcW w:type="dxa" w:w="1180"/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TP/FN/FP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0.25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1.000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0.833</w:t>
            </w:r>
          </w:p>
        </w:tc>
        <w:tc>
          <w:tcPr>
            <w:tcW w:type="dxa" w:w="11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 / 2 / 0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0.35 (default)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1.000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0.833</w:t>
            </w:r>
          </w:p>
        </w:tc>
        <w:tc>
          <w:tcPr>
            <w:tcW w:type="dxa" w:w="11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10 / 2 / 0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0.45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1.000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0.750</w:t>
            </w:r>
          </w:p>
        </w:tc>
        <w:tc>
          <w:tcPr>
            <w:tcW w:type="dxa" w:w="11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7"/>
                <w:szCs w:val="17"/>
              </w:rPr>
              <w:t xml:space="preserve">9 / 3 / 0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TABLE XI. Alert-threshold sensitivity (n=12 frames per threshold).</w:t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VII. DISCUSSION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Validated strengths: PDF report generation and WebSocket alert delivery are both comfortably within interactive latency budgets for a classroom setting. The rule-based LLM fallback measurably prevents an empty AAC board when generation fails. RBAC enforces role separation correctly across all 168 probes following two located and fixed bugs — a genuine audit finding, not merely a corrected test harness.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Open risks: emotion-recognition accuracy (41.7%, macro-F1 0.500 over present classes) is preliminary, measured on a small and class-imbalanced sample, and must not be read as a validated accuracy claim for the deployed system or for the target population. LLM card-generation latency (median 7.36 s, max 36.18 s) warrants further investigation into warm-up behavior or a smaller quantized model. Per-endpoint automated test coverage (3 of 46) remains limited and should be expanded beyond the current auth/RBAC/emotion-pipeline pytest suite.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0"/>
          <w:szCs w:val="20"/>
        </w:rPr>
        <w:t xml:space="preserve">Explicit Scope Limits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To avoid overstatement, we explicitly do not claim: state-of-the-art facial emotion recognition; continuous 2 fps webcam polling (capture is user-triggered only); continuous background monitoring of children; or validated clinical or educational efficacy. This system has not been evaluated with child participants and is not deployment-ready for classroom use without further evaluation and ethics approval.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AI disclosure: manuscript drafting used AI writing assistance; all quantitative claims in this draft were verified by the authors directly against source code and current CSV benchmark artifacts, consistent with IEEE/ICAMAC AI-use policy.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Topic alignment: this paper's primary contribution is a software-security audit (RBAC vulnerability discovery and correction) and a service-oriented systems architecture, aligning with ICAMAC Software Security and Software Architectures tracks; data-minimisation verification aligns with Ethics in AI. Facial expression detection is present only as an integrated, non-novel component with a clearly preliminary evaluation, and is not the paper's central claim.</w:t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VIII. CONCLUSION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SyNAPSE demonstrates a reproducibly measured, local-first, emotion-aware AAC architecture integrating DeepFace, Ollama llama3, FastAPI, and multi-stakeholder school workflows. Verified results cover PDF and WebSocket latency, LLM generation timing and fallback behavior, and 100% (168/168) RBAC correctness following an audit that located and fixed two real access-control bugs. A preliminary emotion-recognition pilot yields a modest, honestly-reported 41.7% accuracy on a small, imbalanced sample, with a clearly diagnosed root cause for an earlier invalid baseline. Immediate next steps are: (1) rebuild the emotion-recognition fixture set with a larger, class-balanced sample; (2) expand per-endpoint automated test coverage beyond the current three endpoints; and (3) re-run the full benchmark suite once these are complete, updating all reported figures accordingly before submission.</w:t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REFERENCES</w:t>
      </w:r>
    </w:p>
    <w:p>
      <w:pPr>
        <w:spacing w:after="60"/>
        <w:ind w:left="200" w:hanging="200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[1]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American Speech-Language-Hearing Association, “Augmentative and Alternative Communication (AAC),” ASHA Practice Portal, 2023.</w:t>
      </w:r>
    </w:p>
    <w:p>
      <w:pPr>
        <w:spacing w:after="60"/>
        <w:ind w:left="200" w:hanging="200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[2]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D. R. Beukelman and P. Mirenda, Augmentative and Alternative Communication: Supporting Children and Adults with Complex Communication Needs, 5th ed. Baltimore, MD: Brookes Publishing, 2013.</w:t>
      </w:r>
    </w:p>
    <w:p>
      <w:pPr>
        <w:spacing w:after="60"/>
        <w:ind w:left="200" w:hanging="200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[3]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P. Ekman and W. V. Friesen, Facial Action Coding System. Palo Alto, CA: Consulting Psychologists Press, 1978.</w:t>
      </w:r>
    </w:p>
    <w:p>
      <w:pPr>
        <w:spacing w:after="60"/>
        <w:ind w:left="200" w:hanging="200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[4]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S. I. Serengil and A. Ozpinar, “LightFace: A hybrid deep face recognition framework,” in Proc. IEEE ASYU, 2020, pp. 1–5.</w:t>
      </w:r>
    </w:p>
    <w:p>
      <w:pPr>
        <w:spacing w:after="60"/>
        <w:ind w:left="200" w:hanging="200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[5]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H. Monkaresi, N. Bosch, R. A. Calvo, and S. K. D'Mello, “Automated detection of engagement using video-based estimation of facial expressions and heart rate,” IEEE Trans. Affective Computing, vol. 8, no. 1, pp. 15–28, 2017.</w:t>
      </w:r>
    </w:p>
    <w:p>
      <w:pPr>
        <w:spacing w:after="60"/>
        <w:ind w:left="200" w:hanging="200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[6]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M. A. Harms et al., “Facial emotion recognition in autism spectrum disorder: A systematic review,” Neuroscience &amp; Biobehavioral Reviews, vol. 137, 2022.</w:t>
      </w:r>
    </w:p>
    <w:p>
      <w:pPr>
        <w:spacing w:after="60"/>
        <w:ind w:left="200" w:hanging="200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[7]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I. J. Goodfellow et al., “Challenges in representation learning: Facial expression recognition challenge,” 2013.</w:t>
      </w:r>
    </w:p>
    <w:p>
      <w:pPr>
        <w:spacing w:after="60"/>
        <w:ind w:left="200" w:hanging="200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[8]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Ollama, “Run large language models locally,” 2024. [Online]. Available: https://ollama.ai</w:t>
      </w:r>
    </w:p>
    <w:p>
      <w:pPr>
        <w:spacing w:after="60"/>
        <w:ind w:left="200" w:hanging="200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[9]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Knowledge and Human Development Authority (KHDA), “Inclusive Education Policy for Private Schools in Dubai,” 2020.</w:t>
      </w:r>
    </w:p>
    <w:p>
      <w:pPr>
        <w:spacing w:after="60"/>
        <w:ind w:left="200" w:hanging="200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[10]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UAE Federal Decree-Law No. 45 of 2021 on the Protection of Personal Data, United Arab Emirates, 2021.</w:t>
      </w:r>
    </w:p>
    <w:p>
      <w:pPr>
        <w:spacing w:after="60"/>
        <w:ind w:left="200" w:hanging="200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[11]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S. Ramírez, “FastAPI,” 2018. [Online]. Available: https://fastapi.tiangolo.com</w:t>
      </w:r>
    </w:p>
    <w:p>
      <w:pPr>
        <w:spacing w:after="60"/>
        <w:ind w:left="200" w:hanging="200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[12]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React Team, “React,” 2024. [Online]. Available: https://react.dev</w:t>
      </w:r>
    </w:p>
    <w:sectPr>
      <w:type w:val="continuous"/>
      <w:pgSz w:w="11906" w:h="16838" w:orient="portrait"/>
      <w:pgMar w:top="1080" w:right="1080" w:bottom="1080" w:left="1080" w:header="708" w:footer="708" w:gutter="0"/>
      <w:pgNumType/>
      <w:cols w:space="420" w:num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95d6714b728481e3c59c892388926243e54c714.png"/><Relationship Id="rId8" Type="http://schemas.openxmlformats.org/officeDocument/2006/relationships/image" Target="media/33b9d7e629f1a202865203206630501a8377be2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2026-09-01T15:39:07.437Z</dcterms:created>
  <dcterms:modified xsi:type="dcterms:W3CDTF">2026-09-01T15:39:07.438Z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