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Kestrel Ridge Technologies Ltd. - Coupling FAQ (FICTIONAL)</w:t>
      </w:r>
    </w:p>
    <w:p>
      <w:r>
        <w:t>Q: What dial gauge resolution is required for push-up measurement?</w:t>
      </w:r>
    </w:p>
    <w:p>
      <w:r>
        <w:t>A: A dial gauge with 0.01 mm resolution is required.</w:t>
      </w:r>
    </w:p>
    <w:p/>
    <w:p>
      <w:r>
        <w:t>Q: Who approves changes to the calculation sheet?</w:t>
      </w:r>
    </w:p>
    <w:p>
      <w:r>
        <w:t>A: Changes must be approved by the lead mechanical engineer before release.</w:t>
      </w:r>
    </w:p>
    <w:p/>
    <w:p>
      <w:r>
        <w:t>Q: How long must calculation records be kept?</w:t>
      </w:r>
    </w:p>
    <w:p>
      <w:r>
        <w:t>A: Calculation records must be kept for 10 years after decommissioning.</w:t>
      </w:r>
    </w:p>
    <w:p/>
    <w:p>
      <w:r>
        <w:t>Q: Can the coupling be mounted without oil injection?</w:t>
      </w:r>
    </w:p>
    <w:p>
      <w:r>
        <w:t>A: No. Oil injection is mandatory for hub H-42.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