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28"/>
          <w:szCs w:val="28"/>
        </w:rPr>
        <w:t xml:space="preserve">BS-CS-26-141  |  פרויקט מס'</w:t>
      </w:r>
    </w:p>
    <w:p>
      <w:pPr>
        <w:spacing w:after="120"/>
        <w:jc w:val="center"/>
      </w:pPr>
      <w:r>
        <w:rPr>
          <w:rFonts w:ascii="Times New Roman" w:cs="Times New Roman" w:eastAsia="Times New Roman" w:hAnsi="Times New Roman"/>
          <w:b/>
          <w:bCs/>
          <w:sz w:val="28"/>
          <w:szCs w:val="28"/>
        </w:rPr>
        <w:t xml:space="preserve">Data driven Investment strategies</w:t>
      </w:r>
    </w:p>
    <w:p>
      <w:pPr>
        <w:bidi/>
        <w:spacing w:after="400"/>
        <w:jc w:val="center"/>
      </w:pPr>
      <w:r>
        <w:rPr>
          <w:rFonts w:ascii="Arial" w:cs="Arial" w:eastAsia="Arial" w:hAnsi="Arial"/>
          <w:sz w:val="26"/>
          <w:szCs w:val="26"/>
          <w:rtl/>
        </w:rPr>
        <w:t xml:space="preserve">אסטרטגיות השקעה מבוססות נתונים</w:t>
      </w:r>
    </w:p>
    <w:p>
      <w:pPr>
        <w:bidi/>
        <w:spacing w:after="120"/>
        <w:jc w:val="center"/>
      </w:pPr>
      <w:r>
        <w:rPr>
          <w:rFonts w:ascii="Arial" w:cs="Arial" w:eastAsia="Arial" w:hAnsi="Arial"/>
          <w:b/>
          <w:bCs/>
          <w:sz w:val="28"/>
          <w:szCs w:val="28"/>
          <w:rtl/>
        </w:rPr>
        <w:t xml:space="preserve">פרויקט מחקרי</w:t>
      </w:r>
    </w:p>
    <w:p>
      <w:pPr>
        <w:bidi/>
        <w:spacing w:after="400"/>
        <w:jc w:val="center"/>
      </w:pPr>
      <w:r>
        <w:rPr>
          <w:rFonts w:ascii="Arial" w:cs="Arial" w:eastAsia="Arial" w:hAnsi="Arial"/>
          <w:b/>
          <w:bCs/>
          <w:sz w:val="32"/>
          <w:szCs w:val="32"/>
          <w:rtl/>
        </w:rPr>
        <w:t xml:space="preserve">דו"ח התקדמות</w:t>
      </w:r>
    </w:p>
    <w:p>
      <w:pPr>
        <w:bidi/>
        <w:spacing w:after="120"/>
        <w:jc w:val="center"/>
      </w:pPr>
      <w:r>
        <w:rPr>
          <w:rFonts w:ascii="Arial" w:cs="Arial" w:eastAsia="Arial" w:hAnsi="Arial"/>
          <w:i/>
          <w:iCs/>
          <w:sz w:val="24"/>
          <w:szCs w:val="24"/>
          <w:rtl/>
        </w:rPr>
        <w:t xml:space="preserve">הוכן לשם השלמת הדרישות לקבלת</w:t>
      </w:r>
    </w:p>
    <w:p>
      <w:pPr>
        <w:bidi/>
        <w:spacing w:after="320"/>
        <w:jc w:val="center"/>
      </w:pPr>
      <w:r>
        <w:rPr>
          <w:rFonts w:ascii="Arial" w:cs="Arial" w:eastAsia="Arial" w:hAnsi="Arial"/>
          <w:i/>
          <w:iCs/>
          <w:sz w:val="24"/>
          <w:szCs w:val="24"/>
          <w:rtl/>
        </w:rPr>
        <w:t xml:space="preserve">תואר ראשון במדעי הטבע B.Sc.</w:t>
      </w:r>
    </w:p>
    <w:p>
      <w:pPr>
        <w:bidi/>
        <w:spacing w:after="120"/>
        <w:jc w:val="center"/>
      </w:pPr>
      <w:r>
        <w:rPr>
          <w:rFonts w:ascii="Arial" w:cs="Arial" w:eastAsia="Arial" w:hAnsi="Arial"/>
          <w:b/>
          <w:bCs/>
          <w:sz w:val="24"/>
          <w:szCs w:val="24"/>
          <w:rtl/>
        </w:rPr>
        <w:t xml:space="preserve">מאת</w:t>
      </w:r>
    </w:p>
    <w:p>
      <w:pPr>
        <w:bidi/>
        <w:spacing w:after="320"/>
        <w:jc w:val="center"/>
      </w:pPr>
      <w:r>
        <w:rPr>
          <w:rFonts w:ascii="Arial" w:cs="Arial" w:eastAsia="Arial" w:hAnsi="Arial"/>
          <w:b/>
          <w:bCs/>
          <w:sz w:val="26"/>
          <w:szCs w:val="26"/>
          <w:rtl/>
        </w:rPr>
        <w:t xml:space="preserve">נהוראי שדה ואביב אסרף</w:t>
      </w:r>
    </w:p>
    <w:p>
      <w:pPr>
        <w:bidi/>
        <w:spacing w:after="320"/>
        <w:jc w:val="center"/>
      </w:pPr>
      <w:r>
        <w:rPr>
          <w:rFonts w:ascii="Arial" w:cs="Arial" w:eastAsia="Arial" w:hAnsi="Arial"/>
          <w:b/>
          <w:bCs/>
          <w:sz w:val="24"/>
          <w:szCs w:val="24"/>
          <w:rtl/>
        </w:rPr>
        <w:t xml:space="preserve">בהנחיית ד"ר דביר רוס</w:t>
      </w:r>
    </w:p>
    <w:p>
      <w:pPr>
        <w:bidi/>
        <w:spacing w:after="80"/>
        <w:jc w:val="center"/>
      </w:pPr>
      <w:r>
        <w:rPr>
          <w:rFonts w:ascii="Arial" w:cs="Arial" w:eastAsia="Arial" w:hAnsi="Arial"/>
          <w:sz w:val="24"/>
          <w:szCs w:val="24"/>
          <w:rtl/>
        </w:rPr>
        <w:t xml:space="preserve">הוגש למחלקה למדעי המחשב</w:t>
      </w:r>
    </w:p>
    <w:p>
      <w:pPr>
        <w:bidi/>
        <w:spacing w:after="80"/>
        <w:jc w:val="center"/>
      </w:pPr>
      <w:r>
        <w:rPr>
          <w:rFonts w:ascii="Arial" w:cs="Arial" w:eastAsia="Arial" w:hAnsi="Arial"/>
          <w:sz w:val="24"/>
          <w:szCs w:val="24"/>
          <w:rtl/>
        </w:rPr>
        <w:t xml:space="preserve">המכללה האקדמית להנדסה סמי שמעון</w:t>
      </w:r>
    </w:p>
    <w:p>
      <w:pPr>
        <w:bidi/>
        <w:spacing w:after="400"/>
        <w:jc w:val="center"/>
      </w:pPr>
      <w:r>
        <w:rPr>
          <w:rFonts w:ascii="Arial" w:cs="Arial" w:eastAsia="Arial" w:hAnsi="Arial"/>
          <w:sz w:val="24"/>
          <w:szCs w:val="24"/>
          <w:rtl/>
        </w:rPr>
        <w:t xml:space="preserve">באר-שבע</w:t>
      </w:r>
    </w:p>
    <w:p>
      <w:pPr>
        <w:bidi/>
        <w:spacing w:after="120"/>
        <w:jc w:val="center"/>
      </w:pPr>
      <w:r>
        <w:rPr>
          <w:rFonts w:ascii="Arial" w:cs="Arial" w:eastAsia="Arial" w:hAnsi="Arial"/>
          <w:sz w:val="22"/>
          <w:szCs w:val="22"/>
          <w:rtl/>
        </w:rPr>
        <w:t xml:space="preserve">י"ב באייר התשפ"ו   |   29/04/2026</w:t>
      </w:r>
    </w:p>
    <w:p>
      <w:r>
        <w:br w:type="page"/>
      </w:r>
    </w:p>
    <w:p>
      <w:pPr>
        <w:pStyle w:val="Heading1"/>
        <w:spacing w:after="160" w:before="240"/>
        <w:jc w:val="left"/>
      </w:pPr>
      <w:r>
        <w:rPr>
          <w:rFonts w:ascii="Times New Roman" w:cs="Times New Roman" w:eastAsia="Times New Roman" w:hAnsi="Times New Roman"/>
          <w:b/>
          <w:bCs/>
        </w:rPr>
        <w:t xml:space="preserve">Table of Contents</w:t>
      </w:r>
    </w:p>
    <w:p>
      <w:pPr>
        <w:spacing w:after="60"/>
      </w:pPr>
      <w:r>
        <w:rPr>
          <w:rFonts w:ascii="Times New Roman" w:cs="Times New Roman" w:eastAsia="Times New Roman" w:hAnsi="Times New Roman"/>
          <w:sz w:val="22"/>
          <w:szCs w:val="22"/>
        </w:rPr>
        <w:t xml:space="preserve">Abstract</w:t>
      </w:r>
    </w:p>
    <w:p>
      <w:pPr>
        <w:spacing w:after="60"/>
      </w:pPr>
      <w:r>
        <w:rPr>
          <w:rFonts w:ascii="Times New Roman" w:cs="Times New Roman" w:eastAsia="Times New Roman" w:hAnsi="Times New Roman"/>
          <w:sz w:val="22"/>
          <w:szCs w:val="22"/>
        </w:rPr>
        <w:t xml:space="preserve">1. Introduction</w:t>
      </w:r>
    </w:p>
    <w:p>
      <w:pPr>
        <w:spacing w:after="60"/>
      </w:pPr>
      <w:r>
        <w:rPr>
          <w:rFonts w:ascii="Times New Roman" w:cs="Times New Roman" w:eastAsia="Times New Roman" w:hAnsi="Times New Roman"/>
          <w:sz w:val="22"/>
          <w:szCs w:val="22"/>
        </w:rPr>
        <w:t xml:space="preserve">2. Background</w:t>
      </w:r>
    </w:p>
    <w:p>
      <w:pPr>
        <w:spacing w:after="60"/>
      </w:pPr>
      <w:r>
        <w:rPr>
          <w:rFonts w:ascii="Times New Roman" w:cs="Times New Roman" w:eastAsia="Times New Roman" w:hAnsi="Times New Roman"/>
          <w:sz w:val="22"/>
          <w:szCs w:val="22"/>
        </w:rPr>
        <w:t xml:space="preserve">3. Related Work</w:t>
      </w:r>
    </w:p>
    <w:p>
      <w:pPr>
        <w:spacing w:after="60"/>
      </w:pPr>
      <w:r>
        <w:rPr>
          <w:rFonts w:ascii="Times New Roman" w:cs="Times New Roman" w:eastAsia="Times New Roman" w:hAnsi="Times New Roman"/>
          <w:sz w:val="22"/>
          <w:szCs w:val="22"/>
        </w:rPr>
        <w:t xml:space="preserve">4. Methodology</w:t>
      </w:r>
    </w:p>
    <w:p>
      <w:pPr>
        <w:spacing w:after="60"/>
      </w:pPr>
      <w:r>
        <w:rPr>
          <w:rFonts w:ascii="Times New Roman" w:cs="Times New Roman" w:eastAsia="Times New Roman" w:hAnsi="Times New Roman"/>
          <w:sz w:val="22"/>
          <w:szCs w:val="22"/>
        </w:rPr>
        <w:t xml:space="preserve">5. Project Progress (New Section)</w:t>
      </w:r>
    </w:p>
    <w:p>
      <w:pPr>
        <w:spacing w:after="60"/>
      </w:pPr>
      <w:r>
        <w:rPr>
          <w:rFonts w:ascii="Times New Roman" w:cs="Times New Roman" w:eastAsia="Times New Roman" w:hAnsi="Times New Roman"/>
          <w:sz w:val="22"/>
          <w:szCs w:val="22"/>
        </w:rPr>
        <w:t xml:space="preserve">   5.1 Application &amp; Interface</w:t>
      </w:r>
    </w:p>
    <w:p>
      <w:pPr>
        <w:spacing w:after="60"/>
      </w:pPr>
      <w:r>
        <w:rPr>
          <w:rFonts w:ascii="Times New Roman" w:cs="Times New Roman" w:eastAsia="Times New Roman" w:hAnsi="Times New Roman"/>
          <w:sz w:val="22"/>
          <w:szCs w:val="22"/>
        </w:rPr>
        <w:t xml:space="preserve">   5.2 Automated Risk/Return Ratio Calculations</w:t>
      </w:r>
    </w:p>
    <w:p>
      <w:pPr>
        <w:spacing w:after="60"/>
      </w:pPr>
      <w:r>
        <w:rPr>
          <w:rFonts w:ascii="Times New Roman" w:cs="Times New Roman" w:eastAsia="Times New Roman" w:hAnsi="Times New Roman"/>
          <w:sz w:val="22"/>
          <w:szCs w:val="22"/>
        </w:rPr>
        <w:t xml:space="preserve">   5.3 Visual Data Exploration</w:t>
      </w:r>
    </w:p>
    <w:p>
      <w:pPr>
        <w:spacing w:after="60"/>
      </w:pPr>
      <w:r>
        <w:rPr>
          <w:rFonts w:ascii="Times New Roman" w:cs="Times New Roman" w:eastAsia="Times New Roman" w:hAnsi="Times New Roman"/>
          <w:sz w:val="22"/>
          <w:szCs w:val="22"/>
        </w:rPr>
        <w:t xml:space="preserve">   5.4 Exponential Regression &amp; Pearson-Based Custom Score</w:t>
      </w:r>
    </w:p>
    <w:p>
      <w:pPr>
        <w:spacing w:after="60"/>
      </w:pPr>
      <w:r>
        <w:rPr>
          <w:rFonts w:ascii="Times New Roman" w:cs="Times New Roman" w:eastAsia="Times New Roman" w:hAnsi="Times New Roman"/>
          <w:sz w:val="22"/>
          <w:szCs w:val="22"/>
        </w:rPr>
        <w:t xml:space="preserve">   5.5 Preliminary Conclusions</w:t>
      </w:r>
    </w:p>
    <w:p>
      <w:pPr>
        <w:spacing w:after="60"/>
      </w:pPr>
      <w:r>
        <w:rPr>
          <w:rFonts w:ascii="Times New Roman" w:cs="Times New Roman" w:eastAsia="Times New Roman" w:hAnsi="Times New Roman"/>
          <w:sz w:val="22"/>
          <w:szCs w:val="22"/>
        </w:rPr>
        <w:t xml:space="preserve">6. Next Steps</w:t>
      </w:r>
    </w:p>
    <w:p>
      <w:pPr>
        <w:spacing w:after="60"/>
      </w:pPr>
      <w:r>
        <w:rPr>
          <w:rFonts w:ascii="Times New Roman" w:cs="Times New Roman" w:eastAsia="Times New Roman" w:hAnsi="Times New Roman"/>
          <w:sz w:val="22"/>
          <w:szCs w:val="22"/>
        </w:rPr>
        <w:t xml:space="preserve">7. References</w:t>
      </w:r>
    </w:p>
    <w:p>
      <w:r>
        <w:br w:type="page"/>
      </w:r>
    </w:p>
    <w:p>
      <w:pPr>
        <w:pStyle w:val="Heading1"/>
        <w:spacing w:after="160" w:before="240"/>
        <w:jc w:val="left"/>
      </w:pPr>
      <w:r>
        <w:rPr>
          <w:rFonts w:ascii="Times New Roman" w:cs="Times New Roman" w:eastAsia="Times New Roman" w:hAnsi="Times New Roman"/>
          <w:b/>
          <w:bCs/>
        </w:rPr>
        <w:t xml:space="preserve">Abstract</w:t>
      </w:r>
    </w:p>
    <w:p>
      <w:pPr>
        <w:spacing w:after="120" w:line="320"/>
        <w:jc w:val="left"/>
      </w:pPr>
      <w:r>
        <w:rPr>
          <w:rFonts w:ascii="Times New Roman" w:cs="Times New Roman" w:eastAsia="Times New Roman" w:hAnsi="Times New Roman"/>
        </w:rPr>
        <w:t xml:space="preserve">This progress report extends the literature review submitted earlier in the project on Data-driven Investment Strategies. The original report focused on a theoretical and conceptual analysis of widely used risk-adjusted performance measures — the Sharpe, Sortino, Treynor, Calmar, and Information ratios — and outlined the motivation for studying an alternative measure based on the stability of exponential compounding.</w:t>
      </w:r>
    </w:p>
    <w:p>
      <w:pPr>
        <w:spacing w:after="120" w:line="320"/>
        <w:jc w:val="left"/>
      </w:pPr>
      <w:r>
        <w:rPr>
          <w:rFonts w:ascii="Times New Roman" w:cs="Times New Roman" w:eastAsia="Times New Roman" w:hAnsi="Times New Roman"/>
        </w:rPr>
        <w:t xml:space="preserve">Since then, the project has moved from the conceptual stage into a working empirical environment. We designed and implemented an interactive Streamlit dashboard that downloads market data on demand, computes all five classical risk-adjusted ratios both as full-period values and as rolling time-series, and visualizes them alongside the underlying price. We also implemented an exponential regression module that fits y = a · e^(b·t) to historical prices, computes the Pearson correlation coefficient r between log-price and time, and combines (ExpReg − Price), r, b, and (optionally) the chosen ratio into a configurable custom score that operationalizes the structural-stability idea proposed in the literature review.</w:t>
      </w:r>
    </w:p>
    <w:p>
      <w:pPr>
        <w:spacing w:after="120" w:line="320"/>
        <w:jc w:val="left"/>
      </w:pPr>
      <w:r>
        <w:rPr>
          <w:rFonts w:ascii="Times New Roman" w:cs="Times New Roman" w:eastAsia="Times New Roman" w:hAnsi="Times New Roman"/>
        </w:rPr>
        <w:t xml:space="preserve">Using this environment we performed an initial exploration on a range of US tickers and benchmarks. We compared the rolling and full-period ratios, examined the behavior of the exponential-fit residual against the classical metrics, and discussed first-impression findings with Dr. Dvir Ross. The current report documents this progress, describes the tooling we built, and frames the next phase of the work.</w:t>
      </w:r>
    </w:p>
    <w:p>
      <w:r>
        <w:br w:type="page"/>
      </w:r>
    </w:p>
    <w:p>
      <w:pPr>
        <w:pStyle w:val="Heading1"/>
        <w:spacing w:after="160" w:before="240"/>
        <w:jc w:val="left"/>
      </w:pPr>
      <w:r>
        <w:rPr>
          <w:rFonts w:ascii="Times New Roman" w:cs="Times New Roman" w:eastAsia="Times New Roman" w:hAnsi="Times New Roman"/>
          <w:b/>
          <w:bCs/>
        </w:rPr>
        <w:t xml:space="preserve">1. Introduction</w:t>
      </w:r>
    </w:p>
    <w:p>
      <w:pPr>
        <w:spacing w:after="120" w:line="320"/>
        <w:jc w:val="left"/>
      </w:pPr>
      <w:r>
        <w:rPr>
          <w:rFonts w:ascii="Times New Roman" w:cs="Times New Roman" w:eastAsia="Times New Roman" w:hAnsi="Times New Roman"/>
        </w:rPr>
        <w:t xml:space="preserve">The earlier literature review established that classical risk-adjusted ratios, while broadly used, rest on simplifying assumptions — symmetric volatility, stationary distributions, and constant variance — that often diverge from the structural behavior of real markets. We argued that financial price series, since they evolve through multiplicative compounding, can also be characterized by how closely they follow a smooth exponential growth process, and that the stability of that process may carry information that volatility-based ratios miss.</w:t>
      </w:r>
    </w:p>
    <w:p>
      <w:pPr>
        <w:spacing w:after="120" w:line="320"/>
        <w:jc w:val="left"/>
      </w:pPr>
      <w:r>
        <w:rPr>
          <w:rFonts w:ascii="Times New Roman" w:cs="Times New Roman" w:eastAsia="Times New Roman" w:hAnsi="Times New Roman"/>
        </w:rPr>
        <w:t xml:space="preserve">In this progress report we shift from theoretical motivation to construction. We describe the working software prototype we built around those ideas, the empirical pipeline that links Yahoo Finance data to ratio computation and visualization, and the first qualitative observations that emerged from using the system. The classical ratios remain the reference point: each new tool we built was validated against the textbook formulas before being used to compare assets.</w:t>
      </w:r>
    </w:p>
    <w:p>
      <w:pPr>
        <w:pStyle w:val="Heading1"/>
        <w:spacing w:after="160" w:before="240"/>
        <w:jc w:val="left"/>
      </w:pPr>
      <w:r>
        <w:rPr>
          <w:rFonts w:ascii="Times New Roman" w:cs="Times New Roman" w:eastAsia="Times New Roman" w:hAnsi="Times New Roman"/>
          <w:b/>
          <w:bCs/>
        </w:rPr>
        <w:t xml:space="preserve">2. Background (recap)</w:t>
      </w:r>
    </w:p>
    <w:p>
      <w:pPr>
        <w:spacing w:after="120" w:line="320"/>
        <w:jc w:val="left"/>
      </w:pPr>
      <w:r>
        <w:rPr>
          <w:rFonts w:ascii="Times New Roman" w:cs="Times New Roman" w:eastAsia="Times New Roman" w:hAnsi="Times New Roman"/>
        </w:rPr>
        <w:t xml:space="preserve">For completeness we restate the five risk-adjusted measures studied in the project. Each was implemented in our codebase with two flavors: a single full-period scalar and a rolling-window time series, both annualized using 252 trading days.</w:t>
      </w:r>
    </w:p>
    <w:p>
      <w:pPr>
        <w:spacing w:after="120" w:line="320"/>
        <w:jc w:val="left"/>
      </w:pPr>
      <w:r>
        <w:rPr>
          <w:rFonts w:ascii="Times New Roman" w:cs="Times New Roman" w:eastAsia="Times New Roman" w:hAnsi="Times New Roman"/>
          <w:i/>
          <w:iCs/>
        </w:rPr>
        <w:t xml:space="preserve">Sharpe ratio:  Sharpe = (Rp − Rf) / σp</w:t>
      </w:r>
    </w:p>
    <w:p>
      <w:pPr>
        <w:spacing w:after="120" w:line="320"/>
        <w:jc w:val="left"/>
      </w:pPr>
      <w:r>
        <w:rPr>
          <w:rFonts w:ascii="Times New Roman" w:cs="Times New Roman" w:eastAsia="Times New Roman" w:hAnsi="Times New Roman"/>
          <w:i/>
          <w:iCs/>
        </w:rPr>
        <w:t xml:space="preserve">Sortino ratio:  Sortino = (Rp − Rf) / σd  (σd = downside deviation)</w:t>
      </w:r>
    </w:p>
    <w:p>
      <w:pPr>
        <w:spacing w:after="120" w:line="320"/>
        <w:jc w:val="left"/>
      </w:pPr>
      <w:r>
        <w:rPr>
          <w:rFonts w:ascii="Times New Roman" w:cs="Times New Roman" w:eastAsia="Times New Roman" w:hAnsi="Times New Roman"/>
          <w:i/>
          <w:iCs/>
        </w:rPr>
        <w:t xml:space="preserve">Treynor ratio:  Treynor = (Rp − Rf) / βp  (β vs. benchmark)</w:t>
      </w:r>
    </w:p>
    <w:p>
      <w:pPr>
        <w:spacing w:after="120" w:line="320"/>
        <w:jc w:val="left"/>
      </w:pPr>
      <w:r>
        <w:rPr>
          <w:rFonts w:ascii="Times New Roman" w:cs="Times New Roman" w:eastAsia="Times New Roman" w:hAnsi="Times New Roman"/>
          <w:i/>
          <w:iCs/>
        </w:rPr>
        <w:t xml:space="preserve">Information ratio:  IR = (Rp − Rb) / σ(Rp − Rb)</w:t>
      </w:r>
    </w:p>
    <w:p>
      <w:pPr>
        <w:spacing w:after="120" w:line="320"/>
        <w:jc w:val="left"/>
      </w:pPr>
      <w:r>
        <w:rPr>
          <w:rFonts w:ascii="Times New Roman" w:cs="Times New Roman" w:eastAsia="Times New Roman" w:hAnsi="Times New Roman"/>
          <w:i/>
          <w:iCs/>
        </w:rPr>
        <w:t xml:space="preserve">Calmar ratio:  Calmar = (Rp − Rf) / Dmax  (Dmax = max drawdown)</w:t>
      </w:r>
    </w:p>
    <w:p>
      <w:pPr>
        <w:spacing w:after="120" w:line="320"/>
        <w:jc w:val="left"/>
      </w:pPr>
      <w:r>
        <w:rPr>
          <w:rFonts w:ascii="Times New Roman" w:cs="Times New Roman" w:eastAsia="Times New Roman" w:hAnsi="Times New Roman"/>
        </w:rPr>
        <w:t xml:space="preserve">Each ratio captures a different aspect of risk — total volatility, downside volatility, systematic risk, active-return consistency, or worst peak-to-trough loss — and each one reacts differently to market regimes. The literature review listed the conditions under which each may mislead, and motivated the search for a complementary structural metric.</w:t>
      </w:r>
    </w:p>
    <w:p>
      <w:pPr>
        <w:pStyle w:val="Heading1"/>
        <w:spacing w:after="160" w:before="240"/>
        <w:jc w:val="left"/>
      </w:pPr>
      <w:r>
        <w:rPr>
          <w:rFonts w:ascii="Times New Roman" w:cs="Times New Roman" w:eastAsia="Times New Roman" w:hAnsi="Times New Roman"/>
          <w:b/>
          <w:bCs/>
        </w:rPr>
        <w:t xml:space="preserve">3. Related Work (pointer)</w:t>
      </w:r>
    </w:p>
    <w:p>
      <w:pPr>
        <w:spacing w:after="120" w:line="320"/>
        <w:jc w:val="left"/>
      </w:pPr>
      <w:r>
        <w:rPr>
          <w:rFonts w:ascii="Times New Roman" w:cs="Times New Roman" w:eastAsia="Times New Roman" w:hAnsi="Times New Roman"/>
        </w:rPr>
        <w:t xml:space="preserve">The detailed related-work survey appears in the literature-review document. Key references that directly inform this progress report are: Sharpe (1966), Sortino &amp; Price (1994), Treynor (1965), Grinold (1989), Young (1991) for the ratios themselves; Engle (1982) and Cont (2001) for volatility-clustering and fat-tail issues that motivate alternative metrics; Campbell, Lo &amp; MacKinlay (1997) and Tsay (2010) for log-linear regression of price series; and Jegadeesh &amp; Titman (1993), Moskowitz, Ooi &amp; Pedersen (2012) for regime-dependent behavior of return-based ratios.</w:t>
      </w:r>
    </w:p>
    <w:p>
      <w:pPr>
        <w:pStyle w:val="Heading1"/>
        <w:spacing w:after="160" w:before="240"/>
        <w:jc w:val="left"/>
      </w:pPr>
      <w:r>
        <w:rPr>
          <w:rFonts w:ascii="Times New Roman" w:cs="Times New Roman" w:eastAsia="Times New Roman" w:hAnsi="Times New Roman"/>
          <w:b/>
          <w:bCs/>
        </w:rPr>
        <w:t xml:space="preserve">4. Methodology</w:t>
      </w:r>
    </w:p>
    <w:p>
      <w:pPr>
        <w:spacing w:after="120" w:line="320"/>
        <w:jc w:val="left"/>
      </w:pPr>
      <w:r>
        <w:rPr>
          <w:rFonts w:ascii="Times New Roman" w:cs="Times New Roman" w:eastAsia="Times New Roman" w:hAnsi="Times New Roman"/>
        </w:rPr>
        <w:t xml:space="preserve">The methodological plan from the literature review is now (partially) realized in code. The current pipeline is:</w:t>
      </w:r>
    </w:p>
    <w:p>
      <w:pPr>
        <w:pStyle w:val="ListParagraph"/>
        <w:numPr>
          <w:ilvl w:val="0"/>
          <w:numId w:val="2"/>
        </w:numPr>
        <w:spacing w:after="80" w:line="320"/>
      </w:pPr>
      <w:r>
        <w:rPr>
          <w:rFonts w:ascii="Times New Roman" w:cs="Times New Roman" w:eastAsia="Times New Roman" w:hAnsi="Times New Roman"/>
        </w:rPr>
        <w:t xml:space="preserve">Data ingestion — yfinance.download, with auto-adjusted prices, cached for 5 minutes via st.cache_data. Both fixed periods (1M…Max) and arbitrary date ranges are supported.</w:t>
      </w:r>
    </w:p>
    <w:p>
      <w:pPr>
        <w:pStyle w:val="ListParagraph"/>
        <w:numPr>
          <w:ilvl w:val="0"/>
          <w:numId w:val="2"/>
        </w:numPr>
        <w:spacing w:after="80" w:line="320"/>
      </w:pPr>
      <w:r>
        <w:rPr>
          <w:rFonts w:ascii="Times New Roman" w:cs="Times New Roman" w:eastAsia="Times New Roman" w:hAnsi="Times New Roman"/>
        </w:rPr>
        <w:t xml:space="preserve">Return computation — daily simple returns from adjusted close; daily risk-free rate derived from the user-configured annual rate divided by 252.</w:t>
      </w:r>
    </w:p>
    <w:p>
      <w:pPr>
        <w:pStyle w:val="ListParagraph"/>
        <w:numPr>
          <w:ilvl w:val="0"/>
          <w:numId w:val="2"/>
        </w:numPr>
        <w:spacing w:after="80" w:line="320"/>
      </w:pPr>
      <w:r>
        <w:rPr>
          <w:rFonts w:ascii="Times New Roman" w:cs="Times New Roman" w:eastAsia="Times New Roman" w:hAnsi="Times New Roman"/>
        </w:rPr>
        <w:t xml:space="preserve">Ratio computation — five classical ratios, each in two modes: rolling window (default 60 trading days, slider 20–252) and full period; benchmark fetched separately when Treynor or Information Ratio is selected.</w:t>
      </w:r>
    </w:p>
    <w:p>
      <w:pPr>
        <w:pStyle w:val="ListParagraph"/>
        <w:numPr>
          <w:ilvl w:val="0"/>
          <w:numId w:val="2"/>
        </w:numPr>
        <w:spacing w:after="80" w:line="320"/>
      </w:pPr>
      <w:r>
        <w:rPr>
          <w:rFonts w:ascii="Times New Roman" w:cs="Times New Roman" w:eastAsia="Times New Roman" w:hAnsi="Times New Roman"/>
        </w:rPr>
        <w:t xml:space="preserve">Exponential-fit module — np.polyfit on log(price) vs. time index, returning a, b, and Pearson r; a custom score combines (ExpReg − Price), r, b, and optionally the selected ratio.</w:t>
      </w:r>
    </w:p>
    <w:p>
      <w:pPr>
        <w:pStyle w:val="ListParagraph"/>
        <w:numPr>
          <w:ilvl w:val="0"/>
          <w:numId w:val="2"/>
        </w:numPr>
        <w:spacing w:after="80" w:line="320"/>
      </w:pPr>
      <w:r>
        <w:rPr>
          <w:rFonts w:ascii="Times New Roman" w:cs="Times New Roman" w:eastAsia="Times New Roman" w:hAnsi="Times New Roman"/>
        </w:rPr>
        <w:t xml:space="preserve">Visualization — Plotly dual-axis chart showing price, exponential-regression curve, and the chosen ratio (rolling line or full-period horizontal line) on a shared time axis; manual-calculation tables expose every variable used by each formula so the math is auditable.</w:t>
      </w:r>
    </w:p>
    <w:p>
      <w:pPr>
        <w:pStyle w:val="ListParagraph"/>
        <w:numPr>
          <w:ilvl w:val="0"/>
          <w:numId w:val="2"/>
        </w:numPr>
        <w:spacing w:after="80" w:line="320"/>
      </w:pPr>
      <w:r>
        <w:rPr>
          <w:rFonts w:ascii="Times New Roman" w:cs="Times New Roman" w:eastAsia="Times New Roman" w:hAnsi="Times New Roman"/>
        </w:rPr>
        <w:t xml:space="preserve">Comparison mode — two tickers can be loaded side-by-side under identical settings (period, window, benchmark, risk-free rate), supporting head-to-head qualitative analysis.</w:t>
      </w:r>
    </w:p>
    <w:p>
      <w:r>
        <w:br w:type="page"/>
      </w:r>
    </w:p>
    <w:p>
      <w:pPr>
        <w:pStyle w:val="Heading1"/>
        <w:bidi/>
        <w:spacing w:after="160" w:before="240"/>
        <w:jc w:val="right"/>
      </w:pPr>
      <w:r>
        <w:rPr>
          <w:rFonts w:ascii="Arial" w:cs="Arial" w:eastAsia="Arial" w:hAnsi="Arial"/>
          <w:b/>
          <w:bCs/>
          <w:rtl/>
        </w:rPr>
        <w:t xml:space="preserve">5. התקדמות הפרויקט (פרק חדש)</w:t>
      </w:r>
    </w:p>
    <w:p>
      <w:pPr>
        <w:bidi/>
        <w:spacing w:after="120" w:line="320"/>
        <w:jc w:val="right"/>
      </w:pPr>
      <w:r>
        <w:rPr>
          <w:rFonts w:ascii="Arial" w:cs="Arial" w:eastAsia="Arial" w:hAnsi="Arial"/>
          <w:rtl/>
        </w:rPr>
        <w:t xml:space="preserve">מאז הגשת דו"ח הסקירה הספרותית, הפרויקט עבר משלב הניתוח התיאורטי לשלב של בנייה אמפירית. בנינו תשתית עבודה מלאה — אפליקציית ויזואליזציה אינטראקטיבית, מודולי חישוב אוטומטיים לכל היחסים, ומודול רגרסיה מעריכית — ובחנו באמצעותה את המודלים שהוצגו בסקירה הספרותית על מניות אמיתיות. הפרק הזה מסכם את ההתקדמות בארבעה צירים מרכזיים.</w:t>
      </w:r>
    </w:p>
    <w:p>
      <w:pPr>
        <w:pStyle w:val="Heading2"/>
        <w:bidi/>
        <w:spacing w:after="160" w:before="240"/>
        <w:jc w:val="right"/>
      </w:pPr>
      <w:r>
        <w:rPr>
          <w:rFonts w:ascii="Arial" w:cs="Arial" w:eastAsia="Arial" w:hAnsi="Arial"/>
          <w:b/>
          <w:bCs/>
          <w:rtl/>
        </w:rPr>
        <w:t xml:space="preserve">5.1 בניית האפליקציה והממשק</w:t>
      </w:r>
    </w:p>
    <w:p>
      <w:pPr>
        <w:bidi/>
        <w:spacing w:after="120" w:line="320"/>
        <w:jc w:val="right"/>
      </w:pPr>
      <w:r>
        <w:rPr>
          <w:rFonts w:ascii="Arial" w:cs="Arial" w:eastAsia="Arial" w:hAnsi="Arial"/>
          <w:rtl/>
        </w:rPr>
        <w:t xml:space="preserve">פיתחנו אפליקציית Streamlit (קובץ app.py) המהווה סביבת עבודה מלאה לחקר מניות ויחסי סיכון/תשואה. הממשק כולל סרגל צד עם כל הפרמטרים המחקריים — טיקר, תקופה, חלון רולינג, ריבית חסרת סיכון, בנצ'מארק, סקאלות צירים, ופרמטרים של הציון המותאם — וכן תצוגת תרשים מרכזית עם ציר כפול: מחיר בציר הראשי ויחסים בציר המשני.</w:t>
      </w:r>
    </w:p>
    <w:p>
      <w:pPr>
        <w:bidi/>
        <w:spacing w:after="120" w:line="320"/>
        <w:jc w:val="right"/>
      </w:pPr>
      <w:r>
        <w:rPr>
          <w:rFonts w:ascii="Arial" w:cs="Arial" w:eastAsia="Arial" w:hAnsi="Arial"/>
          <w:rtl/>
        </w:rPr>
        <w:t xml:space="preserve">האפליקציה תומכת גם ב"מצב השוואה" שמאפשר לטעון שתי מניות זו לצד זו (Stock A מול Stock B) באותם פרמטרים, וכך לבחון איך אותו יחס מתנהג על שתי נכסים שונים תחת אותה תקופה ואותו בנצ'מארק.</w:t>
      </w:r>
    </w:p>
    <w:p>
      <w:pPr>
        <w:pStyle w:val="ListParagraph"/>
        <w:numPr>
          <w:ilvl w:val="0"/>
          <w:numId w:val="3"/>
        </w:numPr>
        <w:bidi/>
        <w:spacing w:after="80" w:line="320"/>
        <w:jc w:val="right"/>
      </w:pPr>
      <w:r>
        <w:rPr>
          <w:rFonts w:ascii="Arial" w:cs="Arial" w:eastAsia="Arial" w:hAnsi="Arial"/>
          <w:rtl/>
        </w:rPr>
        <w:t xml:space="preserve">ממשק מבוסס Streamlit עם תצוגה ויזואלית עשירה.</w:t>
      </w:r>
    </w:p>
    <w:p>
      <w:pPr>
        <w:pStyle w:val="ListParagraph"/>
        <w:numPr>
          <w:ilvl w:val="0"/>
          <w:numId w:val="3"/>
        </w:numPr>
        <w:bidi/>
        <w:spacing w:after="80" w:line="320"/>
        <w:jc w:val="right"/>
      </w:pPr>
      <w:r>
        <w:rPr>
          <w:rFonts w:ascii="Arial" w:cs="Arial" w:eastAsia="Arial" w:hAnsi="Arial"/>
          <w:rtl/>
        </w:rPr>
        <w:t xml:space="preserve">Caching של ירידי הנתונים מ-yfinance למניעת קריאות מיותרות.</w:t>
      </w:r>
    </w:p>
    <w:p>
      <w:pPr>
        <w:pStyle w:val="ListParagraph"/>
        <w:numPr>
          <w:ilvl w:val="0"/>
          <w:numId w:val="3"/>
        </w:numPr>
        <w:bidi/>
        <w:spacing w:after="80" w:line="320"/>
        <w:jc w:val="right"/>
      </w:pPr>
      <w:r>
        <w:rPr>
          <w:rFonts w:ascii="Arial" w:cs="Arial" w:eastAsia="Arial" w:hAnsi="Arial"/>
          <w:rtl/>
        </w:rPr>
        <w:t xml:space="preserve">בחירת תקופה גמישה: 1M, 3M, 6M, 1Y, 2Y, 5Y, Max, ו-Custom date range.</w:t>
      </w:r>
    </w:p>
    <w:p>
      <w:pPr>
        <w:pStyle w:val="ListParagraph"/>
        <w:numPr>
          <w:ilvl w:val="0"/>
          <w:numId w:val="3"/>
        </w:numPr>
        <w:bidi/>
        <w:spacing w:after="80" w:line="320"/>
        <w:jc w:val="right"/>
      </w:pPr>
      <w:r>
        <w:rPr>
          <w:rFonts w:ascii="Arial" w:cs="Arial" w:eastAsia="Arial" w:hAnsi="Arial"/>
          <w:rtl/>
        </w:rPr>
        <w:t xml:space="preserve">מצב השוואה דו-מנייתי באותם פרמטרים בדיוק.</w:t>
      </w:r>
    </w:p>
    <w:p>
      <w:pPr>
        <w:pStyle w:val="Heading2"/>
        <w:bidi/>
        <w:spacing w:after="160" w:before="240"/>
        <w:jc w:val="right"/>
      </w:pPr>
      <w:r>
        <w:rPr>
          <w:rFonts w:ascii="Arial" w:cs="Arial" w:eastAsia="Arial" w:hAnsi="Arial"/>
          <w:b/>
          <w:bCs/>
          <w:rtl/>
        </w:rPr>
        <w:t xml:space="preserve">5.2 חישוב אוטומטי של היחסים</w:t>
      </w:r>
    </w:p>
    <w:p>
      <w:pPr>
        <w:bidi/>
        <w:spacing w:after="120" w:line="320"/>
        <w:jc w:val="right"/>
      </w:pPr>
      <w:r>
        <w:rPr>
          <w:rFonts w:ascii="Arial" w:cs="Arial" w:eastAsia="Arial" w:hAnsi="Arial"/>
          <w:rtl/>
        </w:rPr>
        <w:t xml:space="preserve">מימשנו במלואן את חמשת היחסים הקלאסיים שהוצגו בסקירה הספרותית — Sharpe, Sortino, Treynor, Information, Calmar — בשני מצבי חישוב: מצב Rolling (חלון נע לאורך זמן) ומצב Full Period (ערך סקלרי יחיד לכל התקופה). כל היחסים מחושבים על-פי הנוסחאות שהובאו בסקירה הספרותית, עם annualization סטנדרטי של 252 ימי מסחר.</w:t>
      </w:r>
    </w:p>
    <w:p>
      <w:pPr>
        <w:bidi/>
        <w:spacing w:after="120" w:line="320"/>
        <w:jc w:val="right"/>
      </w:pPr>
      <w:r>
        <w:rPr>
          <w:rFonts w:ascii="Arial" w:cs="Arial" w:eastAsia="Arial" w:hAnsi="Arial"/>
          <w:rtl/>
        </w:rPr>
        <w:t xml:space="preserve">בנוסף לחישוב, האפליקציה מציגה לכל יחס "טבלת חישוב ידני" שמפרקת את הנוסחה למשתנים שלה (Rp, Rf, σp, σd, βp, Dmax וכו'), ומראה את הערך הנומרי של כל אחד מהם עבור התקופה הנבחרת. בכך אנחנו לא רק רואים את התוצאה הסופית של היחס, אלא גם יכולים לאמת ידנית כל שלב בחישוב — מה שחשוב במיוחד עבור Treynor (שדורש בטא מול בנצ'מארק) ועבור Information Ratio (שדורש סטיית-תקן של תשואה אקטיבית).</w:t>
      </w:r>
    </w:p>
    <w:p>
      <w:pPr>
        <w:pStyle w:val="ListParagraph"/>
        <w:numPr>
          <w:ilvl w:val="0"/>
          <w:numId w:val="3"/>
        </w:numPr>
        <w:bidi/>
        <w:spacing w:after="80" w:line="320"/>
        <w:jc w:val="right"/>
      </w:pPr>
      <w:r>
        <w:rPr>
          <w:rFonts w:ascii="Arial" w:cs="Arial" w:eastAsia="Arial" w:hAnsi="Arial"/>
          <w:rtl/>
        </w:rPr>
        <w:t xml:space="preserve">חמישה יחסים, שני מצבי חישוב (Rolling / Full Period).</w:t>
      </w:r>
    </w:p>
    <w:p>
      <w:pPr>
        <w:pStyle w:val="ListParagraph"/>
        <w:numPr>
          <w:ilvl w:val="0"/>
          <w:numId w:val="3"/>
        </w:numPr>
        <w:bidi/>
        <w:spacing w:after="80" w:line="320"/>
        <w:jc w:val="right"/>
      </w:pPr>
      <w:r>
        <w:rPr>
          <w:rFonts w:ascii="Arial" w:cs="Arial" w:eastAsia="Arial" w:hAnsi="Arial"/>
          <w:rtl/>
        </w:rPr>
        <w:t xml:space="preserve">שליפה אוטומטית של בנצ'מארק (ברירת מחדל ^GSPC) כש-Treynor או Information נבחרים.</w:t>
      </w:r>
    </w:p>
    <w:p>
      <w:pPr>
        <w:pStyle w:val="ListParagraph"/>
        <w:numPr>
          <w:ilvl w:val="0"/>
          <w:numId w:val="3"/>
        </w:numPr>
        <w:bidi/>
        <w:spacing w:after="80" w:line="320"/>
        <w:jc w:val="right"/>
      </w:pPr>
      <w:r>
        <w:rPr>
          <w:rFonts w:ascii="Arial" w:cs="Arial" w:eastAsia="Arial" w:hAnsi="Arial"/>
          <w:rtl/>
        </w:rPr>
        <w:t xml:space="preserve">טבלת "קלטים לחישוב ידני" עבור כל יחס — שקיפות מלאה של המתמטיקה.</w:t>
      </w:r>
    </w:p>
    <w:p>
      <w:pPr>
        <w:pStyle w:val="ListParagraph"/>
        <w:numPr>
          <w:ilvl w:val="0"/>
          <w:numId w:val="3"/>
        </w:numPr>
        <w:bidi/>
        <w:spacing w:after="80" w:line="320"/>
        <w:jc w:val="right"/>
      </w:pPr>
      <w:r>
        <w:rPr>
          <w:rFonts w:ascii="Arial" w:cs="Arial" w:eastAsia="Arial" w:hAnsi="Arial"/>
          <w:rtl/>
        </w:rPr>
        <w:t xml:space="preserve">חישוב annualized ל-252 ימי מסחר בעקביות לכל היחסים.</w:t>
      </w:r>
    </w:p>
    <w:p>
      <w:pPr>
        <w:pStyle w:val="Heading2"/>
        <w:bidi/>
        <w:spacing w:after="160" w:before="240"/>
        <w:jc w:val="right"/>
      </w:pPr>
      <w:r>
        <w:rPr>
          <w:rFonts w:ascii="Arial" w:cs="Arial" w:eastAsia="Arial" w:hAnsi="Arial"/>
          <w:b/>
          <w:bCs/>
          <w:rtl/>
        </w:rPr>
        <w:t xml:space="preserve">5.3 ויזואליזציה ובחינת הנתונים</w:t>
      </w:r>
    </w:p>
    <w:p>
      <w:pPr>
        <w:bidi/>
        <w:spacing w:after="120" w:line="320"/>
        <w:jc w:val="right"/>
      </w:pPr>
      <w:r>
        <w:rPr>
          <w:rFonts w:ascii="Arial" w:cs="Arial" w:eastAsia="Arial" w:hAnsi="Arial"/>
          <w:rtl/>
        </w:rPr>
        <w:t xml:space="preserve">השילוב בין מחיר ליחס בתרשים אחד מאפשר לראות באופן מיידי איך היחס מגיב לאירועי שוק. למשל, כשמופיע משבר חד במחיר, הציר המשני מראה איך הSharpe-Rolling צונח, איך Calmar-Rolling קופץ עם ה-drawdown, ואיך Information-Rolling משנה כיוון מול הבנצ'מארק. בלי הויזואליזציה, היה קשה לראות את ההבדלים העדינים האלה בין היחסים.</w:t>
      </w:r>
    </w:p>
    <w:p>
      <w:pPr>
        <w:bidi/>
        <w:spacing w:after="120" w:line="320"/>
        <w:jc w:val="right"/>
      </w:pPr>
      <w:r>
        <w:rPr>
          <w:rFonts w:ascii="Arial" w:cs="Arial" w:eastAsia="Arial" w:hAnsi="Arial"/>
          <w:rtl/>
        </w:rPr>
        <w:t xml:space="preserve">בנוסף לתרשים, האפליקציה מציגה Summary Statistics — Period Return, Annualized Return, Volatility (תקופתית ושנתית), וערכי full-period של כל היחסים שנבחרו — כך שלכל מנייה מתקבל "כרטיס ביקור" כמותי תמציתי. במצב השוואה, הכרטיסים מוצגים זה לצד זה ומאפשרים בחינה ישירה.</w:t>
      </w:r>
    </w:p>
    <w:p>
      <w:pPr>
        <w:pStyle w:val="Heading2"/>
        <w:bidi/>
        <w:spacing w:after="160" w:before="240"/>
        <w:jc w:val="right"/>
      </w:pPr>
      <w:r>
        <w:rPr>
          <w:rFonts w:ascii="Arial" w:cs="Arial" w:eastAsia="Arial" w:hAnsi="Arial"/>
          <w:b/>
          <w:bCs/>
          <w:rtl/>
        </w:rPr>
        <w:t xml:space="preserve">5.4 רגרסיה מעריכית, מקדם פירסון, וציון מותאם</w:t>
      </w:r>
    </w:p>
    <w:p>
      <w:pPr>
        <w:bidi/>
        <w:spacing w:after="120" w:line="320"/>
        <w:jc w:val="right"/>
      </w:pPr>
      <w:r>
        <w:rPr>
          <w:rFonts w:ascii="Arial" w:cs="Arial" w:eastAsia="Arial" w:hAnsi="Arial"/>
          <w:rtl/>
        </w:rPr>
        <w:t xml:space="preserve">המודול החדשני יותר בפרויקט הוא הרגרסיה המעריכית — בדיוק הרעיון שהוצג בסעיף המתודולוגיה של דו"ח הסקירה הספרותית כ"מטריקה מבנית משלימה". מימשנו אותה כך:</w:t>
      </w:r>
    </w:p>
    <w:p>
      <w:pPr>
        <w:pStyle w:val="ListParagraph"/>
        <w:numPr>
          <w:ilvl w:val="0"/>
          <w:numId w:val="3"/>
        </w:numPr>
        <w:bidi/>
        <w:spacing w:after="80" w:line="320"/>
        <w:jc w:val="right"/>
      </w:pPr>
      <w:r>
        <w:rPr>
          <w:rFonts w:ascii="Arial" w:cs="Arial" w:eastAsia="Arial" w:hAnsi="Arial"/>
          <w:rtl/>
        </w:rPr>
        <w:t xml:space="preserve">התאמת y = a · e^(b·t) למחיר הסגירה ההיסטורי, ע"י רגרסיה לינארית על log(y) מול t.</w:t>
      </w:r>
    </w:p>
    <w:p>
      <w:pPr>
        <w:pStyle w:val="ListParagraph"/>
        <w:numPr>
          <w:ilvl w:val="0"/>
          <w:numId w:val="3"/>
        </w:numPr>
        <w:bidi/>
        <w:spacing w:after="80" w:line="320"/>
        <w:jc w:val="right"/>
      </w:pPr>
      <w:r>
        <w:rPr>
          <w:rFonts w:ascii="Arial" w:cs="Arial" w:eastAsia="Arial" w:hAnsi="Arial"/>
          <w:rtl/>
        </w:rPr>
        <w:t xml:space="preserve">חישוב מקדם פירסון r בין log(price) לזמן, כמדד לחוזק ההתאמה לצמיחה מעריכית חלקה.</w:t>
      </w:r>
    </w:p>
    <w:p>
      <w:pPr>
        <w:pStyle w:val="ListParagraph"/>
        <w:numPr>
          <w:ilvl w:val="0"/>
          <w:numId w:val="3"/>
        </w:numPr>
        <w:bidi/>
        <w:spacing w:after="80" w:line="320"/>
        <w:jc w:val="right"/>
      </w:pPr>
      <w:r>
        <w:rPr>
          <w:rFonts w:ascii="Arial" w:cs="Arial" w:eastAsia="Arial" w:hAnsi="Arial"/>
          <w:rtl/>
        </w:rPr>
        <w:t xml:space="preserve">חישוב המקדם b — קצב הצמיחה היומי המעריכי (אחרי annualization, התשואה השנתית הצפויה אם הצמיחה הייתה חלקה לחלוטין).</w:t>
      </w:r>
    </w:p>
    <w:p>
      <w:pPr>
        <w:pStyle w:val="ListParagraph"/>
        <w:numPr>
          <w:ilvl w:val="0"/>
          <w:numId w:val="3"/>
        </w:numPr>
        <w:bidi/>
        <w:spacing w:after="80" w:line="320"/>
        <w:jc w:val="right"/>
      </w:pPr>
      <w:r>
        <w:rPr>
          <w:rFonts w:ascii="Arial" w:cs="Arial" w:eastAsia="Arial" w:hAnsi="Arial"/>
          <w:rtl/>
        </w:rPr>
        <w:t xml:space="preserve">חישוב ההפרש (ExpReg − Price) בנקודת הזמן הנוכחית — האם המחיר הנוכחי גבוה או נמוך מהצמיחה ה"חלקה" שלו.</w:t>
      </w:r>
    </w:p>
    <w:p>
      <w:pPr>
        <w:pStyle w:val="ListParagraph"/>
        <w:numPr>
          <w:ilvl w:val="0"/>
          <w:numId w:val="3"/>
        </w:numPr>
        <w:bidi/>
        <w:spacing w:after="80" w:line="320"/>
        <w:jc w:val="right"/>
      </w:pPr>
      <w:r>
        <w:rPr>
          <w:rFonts w:ascii="Arial" w:cs="Arial" w:eastAsia="Arial" w:hAnsi="Arial"/>
          <w:rtl/>
        </w:rPr>
        <w:t xml:space="preserve">ציון מותאם (Custom Score) שמשלב את הפרמטרים: Score = (ExpReg − Price) × r × b × Ratio (כל פרמטר ניתן להפעלה/כיבוי בנפרד).</w:t>
      </w:r>
    </w:p>
    <w:p>
      <w:pPr>
        <w:bidi/>
        <w:spacing w:after="120" w:line="320"/>
        <w:jc w:val="right"/>
      </w:pPr>
      <w:r>
        <w:rPr>
          <w:rFonts w:ascii="Arial" w:cs="Arial" w:eastAsia="Arial" w:hAnsi="Arial"/>
          <w:rtl/>
        </w:rPr>
        <w:t xml:space="preserve">הציון תוכנן ככלי השוואתי: ככל ש-r גבוה יותר (התאמה טובה לצמיחה מעריכית), ה-b חיובי (מגמת עליה ארוכת-טווח), וההפרש (ExpReg − Price) חיובי (המחיר "מתחת" לעקום החלק שלו), כך הציון גדל — מה שאפשר לפרש כ"מנייה יציבה במגמת עליה הנמצאת תחת הקו שלה".</w:t>
      </w:r>
    </w:p>
    <w:p>
      <w:pPr>
        <w:bidi/>
        <w:spacing w:after="120" w:line="320"/>
        <w:jc w:val="right"/>
      </w:pPr>
      <w:r>
        <w:rPr>
          <w:rFonts w:ascii="Arial" w:cs="Arial" w:eastAsia="Arial" w:hAnsi="Arial"/>
          <w:rtl/>
        </w:rPr>
        <w:t xml:space="preserve">בחנו את המודל על מספר טיקרים מייצגים מהשוק האמריקאי (כגון AAPL, MSFT, ^GSPC) בתקופות שונות. ראינו ש-r אכן מתפקד כמדד עוצמת מגמה ארוכת-טווח: בנכסים עם צמיחה יציבה ארוכת שנים הוא קרוב ל-1, ובנכסים עם תנודתיות מבנית גדולה או שינויי משטר הוא נחלש משמעותית — מה שתואם בדיוק את הציפייה שעלתה מהסקירה הספרותית (Campbell, Lo &amp; MacKinlay, 1997; Tsay, 2010).</w:t>
      </w:r>
    </w:p>
    <w:p>
      <w:pPr>
        <w:pStyle w:val="Heading2"/>
        <w:bidi/>
        <w:spacing w:after="160" w:before="240"/>
        <w:jc w:val="right"/>
      </w:pPr>
      <w:r>
        <w:rPr>
          <w:rFonts w:ascii="Arial" w:cs="Arial" w:eastAsia="Arial" w:hAnsi="Arial"/>
          <w:b/>
          <w:bCs/>
          <w:rtl/>
        </w:rPr>
        <w:t xml:space="preserve">5.5 מסקנות ראשוניות לאחר התייעצות עם ד"ר דביר</w:t>
      </w:r>
    </w:p>
    <w:p>
      <w:pPr>
        <w:bidi/>
        <w:spacing w:after="120" w:line="320"/>
        <w:jc w:val="right"/>
      </w:pPr>
      <w:r>
        <w:rPr>
          <w:rFonts w:ascii="Arial" w:cs="Arial" w:eastAsia="Arial" w:hAnsi="Arial"/>
          <w:rtl/>
        </w:rPr>
        <w:t xml:space="preserve">התייעצנו עם ד"ר דביר רוס לגבי התוצאות הראשוניות. המסקנות הנוכחיות, שעוד טעונות אימות אמפירי שיטתי בשלב הבא, הן:</w:t>
      </w:r>
    </w:p>
    <w:p>
      <w:pPr>
        <w:pStyle w:val="ListParagraph"/>
        <w:numPr>
          <w:ilvl w:val="0"/>
          <w:numId w:val="4"/>
        </w:numPr>
        <w:bidi/>
        <w:spacing w:after="80" w:line="320"/>
        <w:jc w:val="right"/>
      </w:pPr>
      <w:r>
        <w:rPr>
          <w:rFonts w:ascii="Arial" w:cs="Arial" w:eastAsia="Arial" w:hAnsi="Arial"/>
          <w:rtl/>
        </w:rPr>
        <w:t xml:space="preserve">מקדם פירסון r מספק מידע מבני שלא נלכד ביחסים הקלאסיים — הוא מבחין בין מנייה ש"גדלה בקו ישר" לבין מנייה ש"גדלה בממוצע אבל בקפיצות גדולות", אפילו כשה-Sharpe שלהן דומה.</w:t>
      </w:r>
    </w:p>
    <w:p>
      <w:pPr>
        <w:pStyle w:val="ListParagraph"/>
        <w:numPr>
          <w:ilvl w:val="0"/>
          <w:numId w:val="4"/>
        </w:numPr>
        <w:bidi/>
        <w:spacing w:after="80" w:line="320"/>
        <w:jc w:val="right"/>
      </w:pPr>
      <w:r>
        <w:rPr>
          <w:rFonts w:ascii="Arial" w:cs="Arial" w:eastAsia="Arial" w:hAnsi="Arial"/>
          <w:rtl/>
        </w:rPr>
        <w:t xml:space="preserve">הציון המותאם מתנהג באופן עקבי: נכסים שמקבלים ציון גבוה הם אכן אלו שהשילוב של r, b, וההפרש מעיד עליהם כעל מגמה יציבה — וזה תואם את האינטואיציה המקצועית.</w:t>
      </w:r>
    </w:p>
    <w:p>
      <w:pPr>
        <w:pStyle w:val="ListParagraph"/>
        <w:numPr>
          <w:ilvl w:val="0"/>
          <w:numId w:val="4"/>
        </w:numPr>
        <w:bidi/>
        <w:spacing w:after="80" w:line="320"/>
        <w:jc w:val="right"/>
      </w:pPr>
      <w:r>
        <w:rPr>
          <w:rFonts w:ascii="Arial" w:cs="Arial" w:eastAsia="Arial" w:hAnsi="Arial"/>
          <w:rtl/>
        </w:rPr>
        <w:t xml:space="preserve">נראה שהמטריקה הזו רגישה לבחירת התקופה (window). בתקופות קצרות מדי (פחות מ-3 חודשים) ה-r יכול להיות מטעה כי הוא לוכד רעש מקומי; בתקופות ארוכות מדי הוא מתעלם משינויי משטר. הצעד הבא יהיה לבחון באופן שיטתי איזה אורך תקופה אופטימלי, וכיצד המטריקה משתנה ביחס לחלוקת תקופות (regimes).</w:t>
      </w:r>
    </w:p>
    <w:p>
      <w:pPr>
        <w:pStyle w:val="ListParagraph"/>
        <w:numPr>
          <w:ilvl w:val="0"/>
          <w:numId w:val="4"/>
        </w:numPr>
        <w:bidi/>
        <w:spacing w:after="80" w:line="320"/>
        <w:jc w:val="right"/>
      </w:pPr>
      <w:r>
        <w:rPr>
          <w:rFonts w:ascii="Arial" w:cs="Arial" w:eastAsia="Arial" w:hAnsi="Arial"/>
          <w:rtl/>
        </w:rPr>
        <w:t xml:space="preserve">בהשוואה ישירה בין שתי מניות (compare mode), הציון מאפשר דירוג איכותי שלעיתים שונה מהדירוג ע"פ Sharpe או Sortino לבד — מה שמחזק את ההשערה שמדובר במידע משלים, לא מקביל.</w:t>
      </w:r>
    </w:p>
    <w:p>
      <w:r>
        <w:br w:type="page"/>
      </w:r>
    </w:p>
    <w:p>
      <w:pPr>
        <w:pStyle w:val="Heading1"/>
        <w:spacing w:after="160" w:before="240"/>
        <w:jc w:val="left"/>
      </w:pPr>
      <w:r>
        <w:rPr>
          <w:rFonts w:ascii="Times New Roman" w:cs="Times New Roman" w:eastAsia="Times New Roman" w:hAnsi="Times New Roman"/>
          <w:b/>
          <w:bCs/>
        </w:rPr>
        <w:t xml:space="preserve">6. Next Steps</w:t>
      </w:r>
    </w:p>
    <w:p>
      <w:pPr>
        <w:spacing w:after="120" w:line="320"/>
        <w:jc w:val="left"/>
      </w:pPr>
      <w:r>
        <w:rPr>
          <w:rFonts w:ascii="Times New Roman" w:cs="Times New Roman" w:eastAsia="Times New Roman" w:hAnsi="Times New Roman"/>
        </w:rPr>
        <w:t xml:space="preserve">Building on the working environment described in section 5, the next phase of the project will move from qualitative exploration to systematic empirical evaluation. Concretely:</w:t>
      </w:r>
    </w:p>
    <w:p>
      <w:pPr>
        <w:pStyle w:val="ListParagraph"/>
        <w:numPr>
          <w:ilvl w:val="0"/>
          <w:numId w:val="5"/>
        </w:numPr>
        <w:spacing w:after="80" w:line="320"/>
      </w:pPr>
      <w:r>
        <w:rPr>
          <w:rFonts w:ascii="Times New Roman" w:cs="Times New Roman" w:eastAsia="Times New Roman" w:hAnsi="Times New Roman"/>
        </w:rPr>
        <w:t xml:space="preserve">Build a programmatic batch-evaluation layer on top of the dashboard, so that the same ratio + exponential-fit pipeline can be applied to a basket of tickers (e.g., the S&amp;P 500 components) and the results saved as structured tables.</w:t>
      </w:r>
    </w:p>
    <w:p>
      <w:pPr>
        <w:pStyle w:val="ListParagraph"/>
        <w:numPr>
          <w:ilvl w:val="0"/>
          <w:numId w:val="5"/>
        </w:numPr>
        <w:spacing w:after="80" w:line="320"/>
      </w:pPr>
      <w:r>
        <w:rPr>
          <w:rFonts w:ascii="Times New Roman" w:cs="Times New Roman" w:eastAsia="Times New Roman" w:hAnsi="Times New Roman"/>
        </w:rPr>
        <w:t xml:space="preserve">Run regime-stratified comparisons (bull vs. bear vs. crisis) to test whether the exponential-fit metric is more stable across regimes than the classical ratios — the central empirical question motivated by the literature review.</w:t>
      </w:r>
    </w:p>
    <w:p>
      <w:pPr>
        <w:pStyle w:val="ListParagraph"/>
        <w:numPr>
          <w:ilvl w:val="0"/>
          <w:numId w:val="5"/>
        </w:numPr>
        <w:spacing w:after="80" w:line="320"/>
      </w:pPr>
      <w:r>
        <w:rPr>
          <w:rFonts w:ascii="Times New Roman" w:cs="Times New Roman" w:eastAsia="Times New Roman" w:hAnsi="Times New Roman"/>
        </w:rPr>
        <w:t xml:space="preserve">Calibrate the custom-score formula: which combinations of (Diff, r, b, Ratio) give the most informative ranking, and how sensitive is the result to the rolling-window length.</w:t>
      </w:r>
    </w:p>
    <w:p>
      <w:pPr>
        <w:pStyle w:val="ListParagraph"/>
        <w:numPr>
          <w:ilvl w:val="0"/>
          <w:numId w:val="5"/>
        </w:numPr>
        <w:spacing w:after="80" w:line="320"/>
      </w:pPr>
      <w:r>
        <w:rPr>
          <w:rFonts w:ascii="Times New Roman" w:cs="Times New Roman" w:eastAsia="Times New Roman" w:hAnsi="Times New Roman"/>
        </w:rPr>
        <w:t xml:space="preserve">Validate against an out-of-sample period to check whether assets with strong exponential-fit scores in window [t1, t2] continue to behave well in [t2, t3].</w:t>
      </w:r>
    </w:p>
    <w:p>
      <w:pPr>
        <w:pStyle w:val="ListParagraph"/>
        <w:numPr>
          <w:ilvl w:val="0"/>
          <w:numId w:val="5"/>
        </w:numPr>
        <w:spacing w:after="80" w:line="320"/>
      </w:pPr>
      <w:r>
        <w:rPr>
          <w:rFonts w:ascii="Times New Roman" w:cs="Times New Roman" w:eastAsia="Times New Roman" w:hAnsi="Times New Roman"/>
        </w:rPr>
        <w:t xml:space="preserve">Consolidate the empirical findings and the prototype into the final project report and presentation, scheduled for the end of the academic year.</w:t>
      </w:r>
    </w:p>
    <w:p>
      <w:r>
        <w:br w:type="page"/>
      </w:r>
    </w:p>
    <w:p>
      <w:pPr>
        <w:pStyle w:val="Heading1"/>
        <w:spacing w:after="160" w:before="240"/>
        <w:jc w:val="left"/>
      </w:pPr>
      <w:r>
        <w:rPr>
          <w:rFonts w:ascii="Times New Roman" w:cs="Times New Roman" w:eastAsia="Times New Roman" w:hAnsi="Times New Roman"/>
          <w:b/>
          <w:bCs/>
        </w:rPr>
        <w:t xml:space="preserve">7. References</w:t>
      </w:r>
    </w:p>
    <w:p>
      <w:pPr>
        <w:spacing w:after="100" w:line="300"/>
        <w:ind w:left="360" w:hanging="360"/>
      </w:pPr>
      <w:r>
        <w:rPr>
          <w:rFonts w:ascii="Times New Roman" w:cs="Times New Roman" w:eastAsia="Times New Roman" w:hAnsi="Times New Roman"/>
          <w:i/>
          <w:iCs/>
          <w:sz w:val="22"/>
          <w:szCs w:val="22"/>
        </w:rPr>
        <w:t xml:space="preserve">1. Treynor, J. L. (1965). How to rate management of investment funds. Harvard Business Review.</w:t>
      </w:r>
    </w:p>
    <w:p>
      <w:pPr>
        <w:spacing w:after="100" w:line="300"/>
        <w:ind w:left="360" w:hanging="360"/>
      </w:pPr>
      <w:r>
        <w:rPr>
          <w:rFonts w:ascii="Times New Roman" w:cs="Times New Roman" w:eastAsia="Times New Roman" w:hAnsi="Times New Roman"/>
          <w:i/>
          <w:iCs/>
          <w:sz w:val="22"/>
          <w:szCs w:val="22"/>
        </w:rPr>
        <w:t xml:space="preserve">2. Sharpe, W. F. (1966). Mutual fund performance. Journal of Business, 39(1), 119–138.</w:t>
      </w:r>
    </w:p>
    <w:p>
      <w:pPr>
        <w:spacing w:after="100" w:line="300"/>
        <w:ind w:left="360" w:hanging="360"/>
      </w:pPr>
      <w:r>
        <w:rPr>
          <w:rFonts w:ascii="Times New Roman" w:cs="Times New Roman" w:eastAsia="Times New Roman" w:hAnsi="Times New Roman"/>
          <w:i/>
          <w:iCs/>
          <w:sz w:val="22"/>
          <w:szCs w:val="22"/>
        </w:rPr>
        <w:t xml:space="preserve">3. Engle, R. F. (1982). Autoregressive conditional heteroskedasticity with estimates of the variance of UK inflation. Econometrica, 50(4), 987–1007.</w:t>
      </w:r>
    </w:p>
    <w:p>
      <w:pPr>
        <w:spacing w:after="100" w:line="300"/>
        <w:ind w:left="360" w:hanging="360"/>
      </w:pPr>
      <w:r>
        <w:rPr>
          <w:rFonts w:ascii="Times New Roman" w:cs="Times New Roman" w:eastAsia="Times New Roman" w:hAnsi="Times New Roman"/>
          <w:i/>
          <w:iCs/>
          <w:sz w:val="22"/>
          <w:szCs w:val="22"/>
        </w:rPr>
        <w:t xml:space="preserve">4. Grinold, R. C. (1989). The fundamental law of active management. Financial Analysts Journal, 45(6), 30–37.</w:t>
      </w:r>
    </w:p>
    <w:p>
      <w:pPr>
        <w:spacing w:after="100" w:line="300"/>
        <w:ind w:left="360" w:hanging="360"/>
      </w:pPr>
      <w:r>
        <w:rPr>
          <w:rFonts w:ascii="Times New Roman" w:cs="Times New Roman" w:eastAsia="Times New Roman" w:hAnsi="Times New Roman"/>
          <w:i/>
          <w:iCs/>
          <w:sz w:val="22"/>
          <w:szCs w:val="22"/>
        </w:rPr>
        <w:t xml:space="preserve">5. Young, T. W. (1991). Calmar ratio: A smoother tool. Futures Magazine.</w:t>
      </w:r>
    </w:p>
    <w:p>
      <w:pPr>
        <w:spacing w:after="100" w:line="300"/>
        <w:ind w:left="360" w:hanging="360"/>
      </w:pPr>
      <w:r>
        <w:rPr>
          <w:rFonts w:ascii="Times New Roman" w:cs="Times New Roman" w:eastAsia="Times New Roman" w:hAnsi="Times New Roman"/>
          <w:i/>
          <w:iCs/>
          <w:sz w:val="22"/>
          <w:szCs w:val="22"/>
        </w:rPr>
        <w:t xml:space="preserve">6. Jegadeesh, N., &amp; Titman, S. (1993). Returns to buying winners and selling losers: Implications for stock market efficiency. Journal of Finance, 48(1), 65–91.</w:t>
      </w:r>
    </w:p>
    <w:p>
      <w:pPr>
        <w:spacing w:after="100" w:line="300"/>
        <w:ind w:left="360" w:hanging="360"/>
      </w:pPr>
      <w:r>
        <w:rPr>
          <w:rFonts w:ascii="Times New Roman" w:cs="Times New Roman" w:eastAsia="Times New Roman" w:hAnsi="Times New Roman"/>
          <w:i/>
          <w:iCs/>
          <w:sz w:val="22"/>
          <w:szCs w:val="22"/>
        </w:rPr>
        <w:t xml:space="preserve">7. Sortino, F. A., &amp; Price, L. N. (1994). Performance measurement in a downside risk framework. Journal of Investing, 3(3), 59–64.</w:t>
      </w:r>
    </w:p>
    <w:p>
      <w:pPr>
        <w:spacing w:after="100" w:line="300"/>
        <w:ind w:left="360" w:hanging="360"/>
      </w:pPr>
      <w:r>
        <w:rPr>
          <w:rFonts w:ascii="Times New Roman" w:cs="Times New Roman" w:eastAsia="Times New Roman" w:hAnsi="Times New Roman"/>
          <w:i/>
          <w:iCs/>
          <w:sz w:val="22"/>
          <w:szCs w:val="22"/>
        </w:rPr>
        <w:t xml:space="preserve">8. Campbell, J. Y., Lo, A. W., &amp; MacKinlay, A. C. (1997). The econometrics of financial markets. Princeton University Press.</w:t>
      </w:r>
    </w:p>
    <w:p>
      <w:pPr>
        <w:spacing w:after="100" w:line="300"/>
        <w:ind w:left="360" w:hanging="360"/>
      </w:pPr>
      <w:r>
        <w:rPr>
          <w:rFonts w:ascii="Times New Roman" w:cs="Times New Roman" w:eastAsia="Times New Roman" w:hAnsi="Times New Roman"/>
          <w:i/>
          <w:iCs/>
          <w:sz w:val="22"/>
          <w:szCs w:val="22"/>
        </w:rPr>
        <w:t xml:space="preserve">9. Cont, R. (2001). Empirical properties of asset returns: Stylized facts and statistical issues. Quantitative Finance, 1(2), 223–236.</w:t>
      </w:r>
    </w:p>
    <w:p>
      <w:pPr>
        <w:spacing w:after="100" w:line="300"/>
        <w:ind w:left="360" w:hanging="360"/>
      </w:pPr>
      <w:r>
        <w:rPr>
          <w:rFonts w:ascii="Times New Roman" w:cs="Times New Roman" w:eastAsia="Times New Roman" w:hAnsi="Times New Roman"/>
          <w:i/>
          <w:iCs/>
          <w:sz w:val="22"/>
          <w:szCs w:val="22"/>
        </w:rPr>
        <w:t xml:space="preserve">10. Magdon-Ismail, M., Atiya, A., Pratap, A., &amp; Abu-Mostafa, Y. (2004). On the maximum drawdown of a Brownian motion. Journal of Applied Probability, 41(1), 147–161.</w:t>
      </w:r>
    </w:p>
    <w:p>
      <w:pPr>
        <w:spacing w:after="100" w:line="300"/>
        <w:ind w:left="360" w:hanging="360"/>
      </w:pPr>
      <w:r>
        <w:rPr>
          <w:rFonts w:ascii="Times New Roman" w:cs="Times New Roman" w:eastAsia="Times New Roman" w:hAnsi="Times New Roman"/>
          <w:i/>
          <w:iCs/>
          <w:sz w:val="22"/>
          <w:szCs w:val="22"/>
        </w:rPr>
        <w:t xml:space="preserve">11. Tsay, R. S. (2010). Analysis of financial time series (3rd ed.). Wiley.</w:t>
      </w:r>
    </w:p>
    <w:p>
      <w:pPr>
        <w:spacing w:after="100" w:line="300"/>
        <w:ind w:left="360" w:hanging="360"/>
      </w:pPr>
      <w:r>
        <w:rPr>
          <w:rFonts w:ascii="Times New Roman" w:cs="Times New Roman" w:eastAsia="Times New Roman" w:hAnsi="Times New Roman"/>
          <w:i/>
          <w:iCs/>
          <w:sz w:val="22"/>
          <w:szCs w:val="22"/>
        </w:rPr>
        <w:t xml:space="preserve">12. Kritzman, M., &amp; Li, Y. (2010). Skulls, financial turbulence, and risk management. Financial Analysts Journal, 66(5), 30–41.</w:t>
      </w:r>
    </w:p>
    <w:p>
      <w:pPr>
        <w:spacing w:after="100" w:line="300"/>
        <w:ind w:left="360" w:hanging="360"/>
      </w:pPr>
      <w:r>
        <w:rPr>
          <w:rFonts w:ascii="Times New Roman" w:cs="Times New Roman" w:eastAsia="Times New Roman" w:hAnsi="Times New Roman"/>
          <w:i/>
          <w:iCs/>
          <w:sz w:val="22"/>
          <w:szCs w:val="22"/>
        </w:rPr>
        <w:t xml:space="preserve">13. Fama, E. F., &amp; French, K. R. (2012). Size, value, and momentum in international stock returns. Journal of Financial Economics, 105(3), 457–472.</w:t>
      </w:r>
    </w:p>
    <w:p>
      <w:pPr>
        <w:spacing w:after="100" w:line="300"/>
        <w:ind w:left="360" w:hanging="360"/>
      </w:pPr>
      <w:r>
        <w:rPr>
          <w:rFonts w:ascii="Times New Roman" w:cs="Times New Roman" w:eastAsia="Times New Roman" w:hAnsi="Times New Roman"/>
          <w:i/>
          <w:iCs/>
          <w:sz w:val="22"/>
          <w:szCs w:val="22"/>
        </w:rPr>
        <w:t xml:space="preserve">14. Moskowitz, T. J., Ooi, Y. H., &amp; Pedersen, L. H. (2012). Time series momentum. Journal of Financial Economics, 104(2), 228–250.</w:t>
      </w:r>
    </w:p>
    <w:p>
      <w:pPr>
        <w:spacing w:after="100" w:line="300"/>
        <w:ind w:left="360" w:hanging="360"/>
      </w:pPr>
      <w:r>
        <w:rPr>
          <w:rFonts w:ascii="Times New Roman" w:cs="Times New Roman" w:eastAsia="Times New Roman" w:hAnsi="Times New Roman"/>
          <w:i/>
          <w:iCs/>
          <w:sz w:val="22"/>
          <w:szCs w:val="22"/>
        </w:rPr>
        <w:t xml:space="preserve">15. Brockwell, P. J., &amp; Davis, R. A. (2016). Introduction to time series and forecasting (3rd ed.). Springer.</w:t>
      </w:r>
    </w:p>
    <w:p>
      <w:pPr>
        <w:spacing w:after="100" w:line="300"/>
        <w:ind w:left="360" w:hanging="360"/>
      </w:pPr>
      <w:r>
        <w:rPr>
          <w:rFonts w:ascii="Times New Roman" w:cs="Times New Roman" w:eastAsia="Times New Roman" w:hAnsi="Times New Roman"/>
          <w:i/>
          <w:iCs/>
          <w:sz w:val="22"/>
          <w:szCs w:val="22"/>
        </w:rPr>
        <w:t xml:space="preserve">16. Daniel, K., &amp; Moskowitz, T. J. (2016). Momentum crashes. Journal of Financial Economics, 122(2), 221–247.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abstractNum w:abstractNumId="3" w15:restartNumberingAfterBreak="0">
    <w:multiLevelType w:val="hybridMultilevel"/>
    <w:lvl w:ilvl="0" w15:tentative="1">
      <w:start w:val="1"/>
      <w:numFmt w:val="decimal"/>
      <w:lvlText w:val="%1."/>
      <w:lvlJc w:val="right"/>
      <w:pPr>
        <w:bidi/>
        <w:ind w:righ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Investment Strategies — Progress Report</dc:title>
  <dc:creator>Nehoray Sade &amp; Aviv Asraf</dc:creator>
  <cp:lastModifiedBy>Un-named</cp:lastModifiedBy>
  <cp:revision>1</cp:revision>
  <dcterms:created xsi:type="dcterms:W3CDTF">2026-04-29T14:24:53.013Z</dcterms:created>
  <dcterms:modified xsi:type="dcterms:W3CDTF">2026-04-29T14:24:53.013Z</dcterms:modified>
</cp:coreProperties>
</file>

<file path=docProps/custom.xml><?xml version="1.0" encoding="utf-8"?>
<Properties xmlns="http://schemas.openxmlformats.org/officeDocument/2006/custom-properties" xmlns:vt="http://schemas.openxmlformats.org/officeDocument/2006/docPropsVTypes"/>
</file>