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RESUMO METODOLÓGICO</w:t>
      </w:r>
    </w:p>
    <w:p>
      <w:pPr>
        <w:spacing w:after="40"/>
      </w:pPr>
      <w:r>
        <w:rPr>
          <w:b/>
          <w:bCs/>
          <w:color w:val="2E74B5"/>
          <w:sz w:val="26"/>
          <w:szCs w:val="26"/>
        </w:rPr>
        <w:t xml:space="preserve">Análise de Expressão Gênica Comparada: Prolapso de Órgão Pélvico (POP) vs. Incontinência Urinária de Esforço (SUI)</w:t>
      </w:r>
    </w:p>
    <w:p>
      <w:pPr>
        <w:spacing w:after="300"/>
      </w:pPr>
      <w:r>
        <w:rPr>
          <w:i/>
          <w:iCs/>
          <w:color w:val="595959"/>
          <w:sz w:val="20"/>
          <w:szCs w:val="20"/>
        </w:rPr>
        <w:t xml:space="preserve">Preparado para apresentação institucional  •  6 de setembro de 2026</w:t>
      </w:r>
    </w:p>
    <w:p>
      <w:pPr>
        <w:pStyle w:val="Heading1"/>
        <w:pBdr>
          <w:bottom w:val="single" w:color="2E74B5" w:sz="6" w:space="4"/>
        </w:pBdr>
        <w:spacing w:after="200" w:before="400"/>
      </w:pPr>
      <w:r>
        <w:rPr>
          <w:b/>
          <w:bCs/>
          <w:color w:val="1F3864"/>
          <w:sz w:val="30"/>
          <w:szCs w:val="30"/>
        </w:rPr>
        <w:t xml:space="preserve">1. Objetivo do Estudo</w:t>
      </w:r>
    </w:p>
    <w:p>
      <w:pPr>
        <w:spacing w:after="160" w:line="300"/>
      </w:pPr>
      <w:r>
        <w:rPr>
          <w:sz w:val="21"/>
          <w:szCs w:val="21"/>
        </w:rPr>
        <w:t xml:space="preserve">Investigar, a partir de dados públicos de expressão gênica, se o Prolapso de Órgão Pélvico (POP) e a Incontinência Urinária de Esforço (SUI) compartilham mecanismos moleculares comuns — em particular, a hipótese de que ambas as condições envolvem fragilidade do tecido conjuntivo e da matriz extracelular (ECM) do assoalho pélvico.</w:t>
      </w:r>
    </w:p>
    <w:p>
      <w:pPr>
        <w:spacing w:after="160" w:line="300"/>
      </w:pPr>
      <w:r>
        <w:rPr>
          <w:sz w:val="21"/>
          <w:szCs w:val="21"/>
        </w:rPr>
        <w:t xml:space="preserve">O trabalho identifica genes diferencialmente expressos (DEGs) em cada condição separadamente, testa quais vias biológicas (KEGG) e processos (Gene Ontology) estão alterados, e compara os resultados entre as duas doenças para localizar pontos de convergência.</w:t>
      </w:r>
    </w:p>
    <w:p>
      <w:pPr>
        <w:pStyle w:val="Heading1"/>
        <w:pBdr>
          <w:bottom w:val="single" w:color="2E74B5" w:sz="6" w:space="4"/>
        </w:pBdr>
        <w:spacing w:after="200" w:before="400"/>
      </w:pPr>
      <w:r>
        <w:rPr>
          <w:b/>
          <w:bCs/>
          <w:color w:val="1F3864"/>
          <w:sz w:val="30"/>
          <w:szCs w:val="30"/>
        </w:rPr>
        <w:t xml:space="preserve">2. Fontes de Dados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400"/>
      </w:tblGrid>
      <w:tr>
        <w:trPr>
          <w:tblHeader/>
        </w:trPr>
        <w:tc>
          <w:tcPr>
            <w:tcW w:type="dxa" w:w="1500"/>
            <w:shd w:fill="1F3864" w:val="clear"/>
            <w:tcMar>
              <w:top w:type="dxa" w:w="80"/>
              <w:left w:type="dxa" w:w="100"/>
              <w:bottom w:type="dxa" w:w="80"/>
              <w:right w:type="dxa" w:w="100"/>
            </w:tcMar>
            <w:vAlign w:val="center"/>
          </w:tcPr>
          <w:p>
            <w:pPr>
              <w:jc w:val="left"/>
            </w:pPr>
            <w:r>
              <w:rPr>
                <w:b/>
                <w:bCs/>
                <w:color w:val="FFFFFF"/>
                <w:sz w:val="20"/>
                <w:szCs w:val="20"/>
              </w:rPr>
              <w:t xml:space="preserve">Condição</w:t>
            </w:r>
          </w:p>
        </w:tc>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Fonte / Acesso</w:t>
            </w:r>
          </w:p>
        </w:tc>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Desenho experimental</w:t>
            </w:r>
          </w:p>
        </w:tc>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Tipo de dado</w:t>
            </w:r>
          </w:p>
        </w:tc>
      </w:tr>
      <w:tr>
        <w:tc>
          <w:tcPr>
            <w:tcW w:type="dxa" w:w="1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POP</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GEO: GSE208261</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12 Controle (6 ligamento uterossacral + 6 parede vaginal) vs 12 POP (parede vaginal)</w:t>
            </w:r>
          </w:p>
        </w:tc>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RNA-seq (bulk), contagens brutas</w:t>
            </w:r>
          </w:p>
        </w:tc>
      </w:tr>
      <w:tr>
        <w:tc>
          <w:tcPr>
            <w:tcW w:type="dxa" w:w="15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SUI</w:t>
            </w:r>
          </w:p>
        </w:tc>
        <w:tc>
          <w:tcPr>
            <w:tcW w:type="dxa" w:w="26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Wei et al., 2020
(43032_2020_144_MOESM2)</w:t>
            </w:r>
          </w:p>
        </w:tc>
        <w:tc>
          <w:tcPr>
            <w:tcW w:type="dxa" w:w="32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3 SUI vs 3 Controle — lista de DEGs já publicada pelos autores originais (fold-change ≥2, p&lt;0,05)</w:t>
            </w:r>
          </w:p>
        </w:tc>
        <w:tc>
          <w:tcPr>
            <w:tcW w:type="dxa" w:w="24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Microarray</w:t>
            </w:r>
          </w:p>
        </w:tc>
      </w:tr>
    </w:tbl>
    <w:p>
      <w:pPr>
        <w:spacing w:after="0" w:before="160"/>
      </w:pPr>
    </w:p>
    <w:p>
      <w:pPr>
        <w:spacing w:after="160" w:line="300"/>
      </w:pPr>
      <w:r>
        <w:rPr>
          <w:i/>
          <w:iCs/>
          <w:color w:val="444444"/>
          <w:sz w:val="21"/>
          <w:szCs w:val="21"/>
        </w:rPr>
        <w:t xml:space="preserve">Observação importante: o artigo de Wei et al. (2020) nunca publicou a tabela completa com todos os genes testados no array — apenas a lista dos genes já classificados como diferencialmente expressos. Por isso, o SUI é analisado a partir dessa lista, e não recalculado do zero como o POP.</w:t>
      </w:r>
    </w:p>
    <w:p>
      <w:pPr>
        <w:pStyle w:val="Heading1"/>
        <w:pBdr>
          <w:bottom w:val="single" w:color="2E74B5" w:sz="6" w:space="4"/>
        </w:pBdr>
        <w:spacing w:after="200" w:before="400"/>
      </w:pPr>
      <w:r>
        <w:rPr>
          <w:b/>
          <w:bCs/>
          <w:color w:val="1F3864"/>
          <w:sz w:val="30"/>
          <w:szCs w:val="30"/>
        </w:rPr>
        <w:t xml:space="preserve">3. Ferramentas Utilizadas e Etapas da Análise</w:t>
      </w:r>
    </w:p>
    <w:p>
      <w:pPr>
        <w:spacing w:after="160" w:line="300"/>
      </w:pPr>
      <w:r>
        <w:rPr>
          <w:sz w:val="21"/>
          <w:szCs w:val="21"/>
        </w:rPr>
        <w:t xml:space="preserve">A análise seguiu 8 etapas, cada uma usando uma ferramenta estatística ou banco de dados específico. A tabela abaixo explica o que cada uma é e por que foi usada.</w:t>
      </w:r>
    </w:p>
    <w:p>
      <w:pPr>
        <w:pStyle w:val="Heading2"/>
        <w:spacing w:after="120" w:before="300"/>
      </w:pPr>
      <w:r>
        <w:rPr>
          <w:b/>
          <w:bCs/>
          <w:color w:val="1F3864"/>
          <w:sz w:val="24"/>
          <w:szCs w:val="24"/>
        </w:rPr>
        <w:t xml:space="preserve">3.1 Identificação de genes diferencialmente expressos (DEG)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500"/>
      </w:tblGrid>
      <w:tr>
        <w:trPr>
          <w:tblHeader/>
        </w:trPr>
        <w:tc>
          <w:tcPr>
            <w:tcW w:type="dxa" w:w="1900"/>
            <w:shd w:fill="1F3864" w:val="clear"/>
            <w:tcMar>
              <w:top w:type="dxa" w:w="80"/>
              <w:left w:type="dxa" w:w="100"/>
              <w:bottom w:type="dxa" w:w="80"/>
              <w:right w:type="dxa" w:w="100"/>
            </w:tcMar>
            <w:vAlign w:val="center"/>
          </w:tcPr>
          <w:p>
            <w:pPr>
              <w:jc w:val="left"/>
            </w:pPr>
            <w:r>
              <w:rPr>
                <w:b/>
                <w:bCs/>
                <w:color w:val="FFFFFF"/>
                <w:sz w:val="20"/>
                <w:szCs w:val="20"/>
              </w:rPr>
              <w:t xml:space="preserve">Ferramenta</w:t>
            </w:r>
          </w:p>
        </w:tc>
        <w:tc>
          <w:tcPr>
            <w:tcW w:type="dxa" w:w="3300"/>
            <w:shd w:fill="1F3864" w:val="clear"/>
            <w:tcMar>
              <w:top w:type="dxa" w:w="80"/>
              <w:left w:type="dxa" w:w="100"/>
              <w:bottom w:type="dxa" w:w="80"/>
              <w:right w:type="dxa" w:w="100"/>
            </w:tcMar>
            <w:vAlign w:val="center"/>
          </w:tcPr>
          <w:p>
            <w:pPr>
              <w:jc w:val="left"/>
            </w:pPr>
            <w:r>
              <w:rPr>
                <w:b/>
                <w:bCs/>
                <w:color w:val="FFFFFF"/>
                <w:sz w:val="20"/>
                <w:szCs w:val="20"/>
              </w:rPr>
              <w:t xml:space="preserve">O que é</w:t>
            </w:r>
          </w:p>
        </w:tc>
        <w:tc>
          <w:tcPr>
            <w:tcW w:type="dxa" w:w="4500"/>
            <w:shd w:fill="1F3864" w:val="clear"/>
            <w:tcMar>
              <w:top w:type="dxa" w:w="80"/>
              <w:left w:type="dxa" w:w="100"/>
              <w:bottom w:type="dxa" w:w="80"/>
              <w:right w:type="dxa" w:w="100"/>
            </w:tcMar>
            <w:vAlign w:val="center"/>
          </w:tcPr>
          <w:p>
            <w:pPr>
              <w:jc w:val="left"/>
            </w:pPr>
            <w:r>
              <w:rPr>
                <w:b/>
                <w:bCs/>
                <w:color w:val="FFFFFF"/>
                <w:sz w:val="20"/>
                <w:szCs w:val="20"/>
              </w:rPr>
              <w:t xml:space="preserve">Papel neste projeto</w:t>
            </w:r>
          </w:p>
        </w:tc>
      </w:tr>
      <w:tr>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DESeq2</w:t>
            </w:r>
          </w:p>
        </w:tc>
        <w:tc>
          <w:tcPr>
            <w:tcW w:type="dxa" w:w="3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Pacote estatístico (Bioconductor) padrão-ouro para RNA-seq. Modela as contagens de leitura de cada gene com uma distribuição binomial negativa, apropriada para dados de contagem com variância alta.</w:t>
            </w:r>
          </w:p>
        </w:tc>
        <w:tc>
          <w:tcPr>
            <w:tcW w:type="dxa" w:w="4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Método PRIMÁRIO para identificar os DEGs de POP: comparou os 12 POP vs 12 Controle e gerou a lista oficial de 163 genes diferencialmente expressos (|log2FC|&gt;1 e FDR&lt;0,05).</w:t>
            </w:r>
          </w:p>
        </w:tc>
      </w:tr>
      <w:tr>
        <w:tc>
          <w:tcPr>
            <w:tcW w:type="dxa" w:w="19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edgeR + voom + limma</w:t>
            </w:r>
          </w:p>
        </w:tc>
        <w:tc>
          <w:tcPr>
            <w:tcW w:type="dxa" w:w="33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"limma" é um pacote originalmente feito para microarray (dados contínuos); "voom" converte contagens de RNA-seq para esse mesmo formato, estimando a relação entre média e variância de cada gene.</w:t>
            </w:r>
          </w:p>
        </w:tc>
        <w:tc>
          <w:tcPr>
            <w:tcW w:type="dxa" w:w="45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Usado em DOIS papéis secundários: (1) conferência cruzada do resultado do DESeq2; (2) gerar a lista de genes ordenada (rankeada) que alimenta o GSEA na etapa seguinte. NÃO substitui o DESeq2 como método oficial de DEG.</w:t>
            </w:r>
          </w:p>
        </w:tc>
      </w:tr>
    </w:tbl>
    <w:p>
      <w:pPr>
        <w:pStyle w:val="Heading2"/>
        <w:spacing w:after="120" w:before="300"/>
      </w:pPr>
      <w:r>
        <w:rPr>
          <w:b/>
          <w:bCs/>
          <w:color w:val="1F3864"/>
          <w:sz w:val="24"/>
          <w:szCs w:val="24"/>
        </w:rPr>
        <w:t xml:space="preserve">3.2 Análise de vias biológicas — GSEA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500"/>
      </w:tblGrid>
      <w:tr>
        <w:trPr>
          <w:tblHeader/>
        </w:trPr>
        <w:tc>
          <w:tcPr>
            <w:tcW w:type="dxa" w:w="1900"/>
            <w:shd w:fill="1F3864" w:val="clear"/>
            <w:tcMar>
              <w:top w:type="dxa" w:w="80"/>
              <w:left w:type="dxa" w:w="100"/>
              <w:bottom w:type="dxa" w:w="80"/>
              <w:right w:type="dxa" w:w="100"/>
            </w:tcMar>
            <w:vAlign w:val="center"/>
          </w:tcPr>
          <w:p>
            <w:pPr>
              <w:jc w:val="left"/>
            </w:pPr>
            <w:r>
              <w:rPr>
                <w:b/>
                <w:bCs/>
                <w:color w:val="FFFFFF"/>
                <w:sz w:val="20"/>
                <w:szCs w:val="20"/>
              </w:rPr>
              <w:t xml:space="preserve">Ferramenta</w:t>
            </w:r>
          </w:p>
        </w:tc>
        <w:tc>
          <w:tcPr>
            <w:tcW w:type="dxa" w:w="3300"/>
            <w:shd w:fill="1F3864" w:val="clear"/>
            <w:tcMar>
              <w:top w:type="dxa" w:w="80"/>
              <w:left w:type="dxa" w:w="100"/>
              <w:bottom w:type="dxa" w:w="80"/>
              <w:right w:type="dxa" w:w="100"/>
            </w:tcMar>
            <w:vAlign w:val="center"/>
          </w:tcPr>
          <w:p>
            <w:pPr>
              <w:jc w:val="left"/>
            </w:pPr>
            <w:r>
              <w:rPr>
                <w:b/>
                <w:bCs/>
                <w:color w:val="FFFFFF"/>
                <w:sz w:val="20"/>
                <w:szCs w:val="20"/>
              </w:rPr>
              <w:t xml:space="preserve">O que é</w:t>
            </w:r>
          </w:p>
        </w:tc>
        <w:tc>
          <w:tcPr>
            <w:tcW w:type="dxa" w:w="4500"/>
            <w:shd w:fill="1F3864" w:val="clear"/>
            <w:tcMar>
              <w:top w:type="dxa" w:w="80"/>
              <w:left w:type="dxa" w:w="100"/>
              <w:bottom w:type="dxa" w:w="80"/>
              <w:right w:type="dxa" w:w="100"/>
            </w:tcMar>
            <w:vAlign w:val="center"/>
          </w:tcPr>
          <w:p>
            <w:pPr>
              <w:jc w:val="left"/>
            </w:pPr>
            <w:r>
              <w:rPr>
                <w:b/>
                <w:bCs/>
                <w:color w:val="FFFFFF"/>
                <w:sz w:val="20"/>
                <w:szCs w:val="20"/>
              </w:rPr>
              <w:t xml:space="preserve">Papel neste projeto</w:t>
            </w:r>
          </w:p>
        </w:tc>
      </w:tr>
      <w:tr>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GSEA (Gene Set Enrichment Analysis)</w:t>
            </w:r>
          </w:p>
        </w:tc>
        <w:tc>
          <w:tcPr>
            <w:tcW w:type="dxa" w:w="3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Método estatístico (Subramanian et al., 2005) que testa se um GRUPO de genes de uma mesma via biológica está deslocado, em conjunto, para um extremo da lista de genes ordenada por expressão — mesmo que nenhum gene individual atinja significância sozinho.</w:t>
            </w:r>
          </w:p>
        </w:tc>
        <w:tc>
          <w:tcPr>
            <w:tcW w:type="dxa" w:w="4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Implementação própria ("caseira") do algoritmo original, construída porque o ambiente de desenvolvimento não tinha acesso à internet para instalar o pacote oficial. Aplicada tanto em POP (permutação de fenótipo) quanto em SUI (permutação de vias, adaptada ao tamanho amostral pequeno de 3 vs 3).</w:t>
            </w:r>
          </w:p>
        </w:tc>
      </w:tr>
      <w:tr>
        <w:tc>
          <w:tcPr>
            <w:tcW w:type="dxa" w:w="19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org.Hs.eg.db + AnnotationDbi</w:t>
            </w:r>
          </w:p>
        </w:tc>
        <w:tc>
          <w:tcPr>
            <w:tcW w:type="dxa" w:w="33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Banco de dados (Bioconductor) que funciona como um "dicionário": converte identificadores de genes (Entrez ↔ símbolo, ex. "7157" ↔ "TP53") e fornece a lista de genes de cada via do KEGG e cada termo do GO.</w:t>
            </w:r>
          </w:p>
        </w:tc>
        <w:tc>
          <w:tcPr>
            <w:tcW w:type="dxa" w:w="45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Fonte de TODOS os conjuntos de genes (KEGG e GO) usados neste projeto — permite rodar a análise inteiramente offline, sem depender de servidores externos.</w:t>
            </w:r>
          </w:p>
        </w:tc>
      </w:tr>
      <w:tr>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fgsea</w:t>
            </w:r>
          </w:p>
        </w:tc>
        <w:tc>
          <w:tcPr>
            <w:tcW w:type="dxa" w:w="3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Pacote OFICIAL do Bioconductor para GSEA, mantido pela comunidade científica internacional.</w:t>
            </w:r>
          </w:p>
        </w:tc>
        <w:tc>
          <w:tcPr>
            <w:tcW w:type="dxa" w:w="4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Usado para VALIDAR o motor de cálculo da implementação caseira: rodado sobre a MESMA lista de genes ordenada e os MESMOS conjuntos de genes do KEGG/GO já usados acima. A concordância entre os dois métodos confirma que a implementação própria está correta.</w:t>
            </w:r>
          </w:p>
        </w:tc>
      </w:tr>
      <w:tr>
        <w:tc>
          <w:tcPr>
            <w:tcW w:type="dxa" w:w="19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GO.db</w:t>
            </w:r>
          </w:p>
        </w:tc>
        <w:tc>
          <w:tcPr>
            <w:tcW w:type="dxa" w:w="33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Banco de dados que traduz um código do Gene Ontology (ex. "GO:0030199") no seu nome legível ("collagen fibril organization").</w:t>
            </w:r>
          </w:p>
        </w:tc>
        <w:tc>
          <w:tcPr>
            <w:tcW w:type="dxa" w:w="45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Usado apenas para dar nomes legíveis aos termos GO nas tabelas e gráficos.</w:t>
            </w:r>
          </w:p>
        </w:tc>
      </w:tr>
    </w:tbl>
    <w:p>
      <w:pPr>
        <w:pStyle w:val="Heading2"/>
        <w:spacing w:after="120" w:before="300"/>
      </w:pPr>
      <w:r>
        <w:rPr>
          <w:b/>
          <w:bCs/>
          <w:color w:val="1F3864"/>
          <w:sz w:val="24"/>
          <w:szCs w:val="24"/>
        </w:rPr>
        <w:t xml:space="preserve">3.3 Camada complementar de validação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500"/>
      </w:tblGrid>
      <w:tr>
        <w:trPr>
          <w:tblHeader/>
        </w:trPr>
        <w:tc>
          <w:tcPr>
            <w:tcW w:type="dxa" w:w="1900"/>
            <w:shd w:fill="1F3864" w:val="clear"/>
            <w:tcMar>
              <w:top w:type="dxa" w:w="80"/>
              <w:left w:type="dxa" w:w="100"/>
              <w:bottom w:type="dxa" w:w="80"/>
              <w:right w:type="dxa" w:w="100"/>
            </w:tcMar>
            <w:vAlign w:val="center"/>
          </w:tcPr>
          <w:p>
            <w:pPr>
              <w:jc w:val="left"/>
            </w:pPr>
            <w:r>
              <w:rPr>
                <w:b/>
                <w:bCs/>
                <w:color w:val="FFFFFF"/>
                <w:sz w:val="20"/>
                <w:szCs w:val="20"/>
              </w:rPr>
              <w:t xml:space="preserve">Ferramenta</w:t>
            </w:r>
          </w:p>
        </w:tc>
        <w:tc>
          <w:tcPr>
            <w:tcW w:type="dxa" w:w="3300"/>
            <w:shd w:fill="1F3864" w:val="clear"/>
            <w:tcMar>
              <w:top w:type="dxa" w:w="80"/>
              <w:left w:type="dxa" w:w="100"/>
              <w:bottom w:type="dxa" w:w="80"/>
              <w:right w:type="dxa" w:w="100"/>
            </w:tcMar>
            <w:vAlign w:val="center"/>
          </w:tcPr>
          <w:p>
            <w:pPr>
              <w:jc w:val="left"/>
            </w:pPr>
            <w:r>
              <w:rPr>
                <w:b/>
                <w:bCs/>
                <w:color w:val="FFFFFF"/>
                <w:sz w:val="20"/>
                <w:szCs w:val="20"/>
              </w:rPr>
              <w:t xml:space="preserve">O que é</w:t>
            </w:r>
          </w:p>
        </w:tc>
        <w:tc>
          <w:tcPr>
            <w:tcW w:type="dxa" w:w="4500"/>
            <w:shd w:fill="1F3864" w:val="clear"/>
            <w:tcMar>
              <w:top w:type="dxa" w:w="80"/>
              <w:left w:type="dxa" w:w="100"/>
              <w:bottom w:type="dxa" w:w="80"/>
              <w:right w:type="dxa" w:w="100"/>
            </w:tcMar>
            <w:vAlign w:val="center"/>
          </w:tcPr>
          <w:p>
            <w:pPr>
              <w:jc w:val="left"/>
            </w:pPr>
            <w:r>
              <w:rPr>
                <w:b/>
                <w:bCs/>
                <w:color w:val="FFFFFF"/>
                <w:sz w:val="20"/>
                <w:szCs w:val="20"/>
              </w:rPr>
              <w:t xml:space="preserve">Papel neste projeto</w:t>
            </w:r>
          </w:p>
        </w:tc>
      </w:tr>
      <w:tr>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KEGG (Kyoto Encyclopedia of Genes and Genomes)</w:t>
            </w:r>
          </w:p>
        </w:tc>
        <w:tc>
          <w:tcPr>
            <w:tcW w:type="dxa" w:w="3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Banco de dados internacional de vias metabólicas e de sinalização celular (ex. "Focal adhesion", "ECM-receptor interaction").</w:t>
            </w:r>
          </w:p>
        </w:tc>
        <w:tc>
          <w:tcPr>
            <w:tcW w:type="dxa" w:w="4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Conjunto de ~218 vias testado tanto no GSEA caseiro quanto no fgsea oficial, em POP e SUI.</w:t>
            </w:r>
          </w:p>
        </w:tc>
      </w:tr>
      <w:tr>
        <w:tc>
          <w:tcPr>
            <w:tcW w:type="dxa" w:w="19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GO Biological Process (GO BP)</w:t>
            </w:r>
          </w:p>
        </w:tc>
        <w:tc>
          <w:tcPr>
            <w:tcW w:type="dxa" w:w="33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Parte do Gene Ontology dedicada a processos biológicos — muito mais numerosa e específica que o KEGG (milhares de termos, incluindo alguns ligados diretamente a colágeno/matriz extracelular sem equivalente no KEGG).</w:t>
            </w:r>
          </w:p>
        </w:tc>
        <w:tc>
          <w:tcPr>
            <w:tcW w:type="dxa" w:w="45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Testado via fgsea diretamente (não pelo código caseiro, que seria lento demais para milhares de termos), usando as mesmas listas de genes ordenadas de POP e SUI.</w:t>
            </w:r>
          </w:p>
        </w:tc>
      </w:tr>
      <w:tr>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GSVA (Gene Set Variation Analysis)</w:t>
            </w:r>
          </w:p>
        </w:tc>
        <w:tc>
          <w:tcPr>
            <w:tcW w:type="dxa" w:w="3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Método estatístico que calcula, para CADA AMOSTRA individualmente, um escore de quão ativa uma via está — ao contrário do GSEA, que compara diretamente dois grupos.</w:t>
            </w:r>
          </w:p>
        </w:tc>
        <w:tc>
          <w:tcPr>
            <w:tcW w:type="dxa" w:w="4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Terceira abordagem estatística independente sobre as mesmas vias do KEGG, comparando os escores por amostra entre POP/Controle e SUI/Controle com teste t.</w:t>
            </w:r>
          </w:p>
        </w:tc>
      </w:tr>
    </w:tbl>
    <w:p>
      <w:pPr>
        <w:pStyle w:val="Heading1"/>
        <w:pBdr>
          <w:bottom w:val="single" w:color="2E74B5" w:sz="6" w:space="4"/>
        </w:pBdr>
        <w:spacing w:after="200" w:before="400"/>
      </w:pPr>
      <w:r>
        <w:rPr>
          <w:b/>
          <w:bCs/>
          <w:color w:val="1F3864"/>
          <w:sz w:val="30"/>
          <w:szCs w:val="30"/>
        </w:rPr>
        <w:t xml:space="preserve">4. Resultados Principais</w:t>
      </w:r>
    </w:p>
    <w:p>
      <w:pPr>
        <w:pStyle w:val="Heading2"/>
        <w:spacing w:after="120" w:before="300"/>
      </w:pPr>
      <w:r>
        <w:rPr>
          <w:b/>
          <w:bCs/>
          <w:color w:val="1F3864"/>
          <w:sz w:val="24"/>
          <w:szCs w:val="24"/>
        </w:rPr>
        <w:t xml:space="preserve">4.1 Genes diferencialmente expressos</w:t>
      </w:r>
    </w:p>
    <w:p>
      <w:pPr>
        <w:pStyle w:val="ListParagraph"/>
        <w:numPr>
          <w:ilvl w:val="0"/>
          <w:numId w:val="1"/>
        </w:numPr>
        <w:spacing w:after="90" w:line="280"/>
      </w:pPr>
      <w:r>
        <w:rPr>
          <w:sz w:val="21"/>
          <w:szCs w:val="21"/>
        </w:rPr>
        <w:t xml:space="preserve">POP (DESeq2): 163 DEGs — 123 genes aumentados, 40 diminuídos (|log2FC|&gt;1, FDR&lt;0,05).</w:t>
      </w:r>
    </w:p>
    <w:p>
      <w:pPr>
        <w:pStyle w:val="ListParagraph"/>
        <w:numPr>
          <w:ilvl w:val="0"/>
          <w:numId w:val="1"/>
        </w:numPr>
        <w:spacing w:after="90" w:line="280"/>
      </w:pPr>
      <w:r>
        <w:rPr>
          <w:sz w:val="21"/>
          <w:szCs w:val="21"/>
        </w:rPr>
        <w:t xml:space="preserve">SUI (Wei et al. 2020, lista publicada pelos autores): 6.118 genes — 3.991 aumentados, 2.127 diminuídos.</w:t>
      </w:r>
    </w:p>
    <w:p>
      <w:pPr>
        <w:pStyle w:val="Heading2"/>
        <w:spacing w:after="120" w:before="300"/>
      </w:pPr>
      <w:r>
        <w:rPr>
          <w:b/>
          <w:bCs/>
          <w:color w:val="1F3864"/>
          <w:sz w:val="24"/>
          <w:szCs w:val="24"/>
        </w:rPr>
        <w:t xml:space="preserve">4.2 Vias KEGG (GSEA)</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800"/>
      </w:tblGrid>
      <w:tr>
        <w:trPr>
          <w:tblHeader/>
        </w:trPr>
        <w:tc>
          <w:tcPr>
            <w:tcW w:type="dxa" w:w="3000"/>
            <w:shd w:fill="1F3864" w:val="clear"/>
            <w:tcMar>
              <w:top w:type="dxa" w:w="80"/>
              <w:left w:type="dxa" w:w="100"/>
              <w:bottom w:type="dxa" w:w="80"/>
              <w:right w:type="dxa" w:w="100"/>
            </w:tcMar>
            <w:vAlign w:val="center"/>
          </w:tcPr>
          <w:p>
            <w:pPr>
              <w:jc w:val="left"/>
            </w:pPr>
            <w:r>
              <w:rPr>
                <w:b/>
                <w:bCs/>
                <w:color w:val="FFFFFF"/>
                <w:sz w:val="20"/>
                <w:szCs w:val="20"/>
              </w:rPr>
              <w:t xml:space="preserve">Métrica</w:t>
            </w:r>
          </w:p>
        </w:tc>
        <w:tc>
          <w:tcPr>
            <w:tcW w:type="dxa" w:w="2900"/>
            <w:shd w:fill="1F3864" w:val="clear"/>
            <w:tcMar>
              <w:top w:type="dxa" w:w="80"/>
              <w:left w:type="dxa" w:w="100"/>
              <w:bottom w:type="dxa" w:w="80"/>
              <w:right w:type="dxa" w:w="100"/>
            </w:tcMar>
            <w:vAlign w:val="center"/>
          </w:tcPr>
          <w:p>
            <w:pPr>
              <w:jc w:val="left"/>
            </w:pPr>
            <w:r>
              <w:rPr>
                <w:b/>
                <w:bCs/>
                <w:color w:val="FFFFFF"/>
                <w:sz w:val="20"/>
                <w:szCs w:val="20"/>
              </w:rPr>
              <w:t xml:space="preserve">POP</w:t>
            </w:r>
          </w:p>
        </w:tc>
        <w:tc>
          <w:tcPr>
            <w:tcW w:type="dxa" w:w="2800"/>
            <w:shd w:fill="1F3864" w:val="clear"/>
            <w:tcMar>
              <w:top w:type="dxa" w:w="80"/>
              <w:left w:type="dxa" w:w="100"/>
              <w:bottom w:type="dxa" w:w="80"/>
              <w:right w:type="dxa" w:w="100"/>
            </w:tcMar>
            <w:vAlign w:val="center"/>
          </w:tcPr>
          <w:p>
            <w:pPr>
              <w:jc w:val="left"/>
            </w:pPr>
            <w:r>
              <w:rPr>
                <w:b/>
                <w:bCs/>
                <w:color w:val="FFFFFF"/>
                <w:sz w:val="20"/>
                <w:szCs w:val="20"/>
              </w:rPr>
              <w:t xml:space="preserve">SUI</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Vias testadas</w:t>
            </w:r>
          </w:p>
        </w:tc>
        <w:tc>
          <w:tcPr>
            <w:tcW w:type="dxa" w:w="2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218</w:t>
            </w:r>
          </w:p>
        </w:tc>
        <w:tc>
          <w:tcPr>
            <w:tcW w:type="dxa" w:w="2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200</w:t>
            </w:r>
          </w:p>
        </w:tc>
      </w:tr>
      <w:tr>
        <w:tc>
          <w:tcPr>
            <w:tcW w:type="dxa" w:w="30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Significativas a FDR&lt;0,25</w:t>
            </w:r>
          </w:p>
        </w:tc>
        <w:tc>
          <w:tcPr>
            <w:tcW w:type="dxa" w:w="29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117</w:t>
            </w:r>
          </w:p>
        </w:tc>
        <w:tc>
          <w:tcPr>
            <w:tcW w:type="dxa" w:w="28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50</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Significativas a FDR&lt;0,05</w:t>
            </w:r>
          </w:p>
        </w:tc>
        <w:tc>
          <w:tcPr>
            <w:tcW w:type="dxa" w:w="2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97</w:t>
            </w:r>
          </w:p>
        </w:tc>
        <w:tc>
          <w:tcPr>
            <w:tcW w:type="dxa" w:w="2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0*</w:t>
            </w:r>
          </w:p>
        </w:tc>
      </w:tr>
      <w:tr>
        <w:tc>
          <w:tcPr>
            <w:tcW w:type="dxa" w:w="30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Vias compartilhadas entre as duas doenças (FDR&lt;0,25)</w:t>
            </w:r>
          </w:p>
        </w:tc>
        <w:tc>
          <w:tcPr>
            <w:tcW w:type="dxa" w:w="29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21–22 vias em comum</w:t>
            </w:r>
          </w:p>
        </w:tc>
        <w:tc>
          <w:tcPr>
            <w:tcW w:type="dxa" w:w="28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
            </w:r>
          </w:p>
        </w:tc>
      </w:tr>
    </w:tbl>
    <w:p>
      <w:pPr>
        <w:spacing w:after="160" w:line="300"/>
      </w:pPr>
      <w:r>
        <w:rPr>
          <w:i/>
          <w:iCs/>
          <w:color w:val="444444"/>
          <w:sz w:val="21"/>
          <w:szCs w:val="21"/>
        </w:rPr>
        <w:t xml:space="preserve">*Nenhuma via atinge FDR&lt;0,05 em SUI devido ao desenho 3 vs 3 (poder estatístico limitado) — esperado e já documentado, não é uma falha da análise.</w:t>
      </w:r>
    </w:p>
    <w:p>
      <w:pPr>
        <w:pStyle w:val="Heading2"/>
        <w:spacing w:after="120" w:before="300"/>
      </w:pPr>
      <w:r>
        <w:rPr>
          <w:b/>
          <w:bCs/>
          <w:color w:val="1F3864"/>
          <w:sz w:val="24"/>
          <w:szCs w:val="24"/>
        </w:rPr>
        <w:t xml:space="preserve">4.3 Validação do motor de cálculo (fgsea oficial)</w:t>
      </w:r>
    </w:p>
    <w:p>
      <w:pPr>
        <w:spacing w:after="160" w:line="300"/>
      </w:pPr>
      <w:r>
        <w:rPr>
          <w:sz w:val="21"/>
          <w:szCs w:val="21"/>
        </w:rPr>
        <w:t xml:space="preserve">Ao rodar o pacote oficial fgsea sobre os MESMOS dados e conjuntos de genes usados na implementação caseira, os resultados apresentaram forte concordância de direção (a maioria das vias comparáveis concorda no sentido do efeito — aumentado ou diminuído), confirmando que o motor de cálculo do GSEA construído para este projeto está correto.</w:t>
      </w:r>
    </w:p>
    <w:p>
      <w:pPr>
        <w:pStyle w:val="Heading2"/>
        <w:spacing w:after="120" w:before="300"/>
      </w:pPr>
      <w:r>
        <w:rPr>
          <w:b/>
          <w:bCs/>
          <w:color w:val="1F3864"/>
          <w:sz w:val="24"/>
          <w:szCs w:val="24"/>
        </w:rPr>
        <w:t xml:space="preserve">4.4 GO Biological Process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800"/>
      </w:tblGrid>
      <w:tr>
        <w:trPr>
          <w:tblHeader/>
        </w:trPr>
        <w:tc>
          <w:tcPr>
            <w:tcW w:type="dxa" w:w="3000"/>
            <w:shd w:fill="1F3864" w:val="clear"/>
            <w:tcMar>
              <w:top w:type="dxa" w:w="80"/>
              <w:left w:type="dxa" w:w="100"/>
              <w:bottom w:type="dxa" w:w="80"/>
              <w:right w:type="dxa" w:w="100"/>
            </w:tcMar>
            <w:vAlign w:val="center"/>
          </w:tcPr>
          <w:p>
            <w:pPr>
              <w:jc w:val="left"/>
            </w:pPr>
            <w:r>
              <w:rPr>
                <w:b/>
                <w:bCs/>
                <w:color w:val="FFFFFF"/>
                <w:sz w:val="20"/>
                <w:szCs w:val="20"/>
              </w:rPr>
              <w:t xml:space="preserve">Métrica</w:t>
            </w:r>
          </w:p>
        </w:tc>
        <w:tc>
          <w:tcPr>
            <w:tcW w:type="dxa" w:w="2900"/>
            <w:shd w:fill="1F3864" w:val="clear"/>
            <w:tcMar>
              <w:top w:type="dxa" w:w="80"/>
              <w:left w:type="dxa" w:w="100"/>
              <w:bottom w:type="dxa" w:w="80"/>
              <w:right w:type="dxa" w:w="100"/>
            </w:tcMar>
            <w:vAlign w:val="center"/>
          </w:tcPr>
          <w:p>
            <w:pPr>
              <w:jc w:val="left"/>
            </w:pPr>
            <w:r>
              <w:rPr>
                <w:b/>
                <w:bCs/>
                <w:color w:val="FFFFFF"/>
                <w:sz w:val="20"/>
                <w:szCs w:val="20"/>
              </w:rPr>
              <w:t xml:space="preserve">POP</w:t>
            </w:r>
          </w:p>
        </w:tc>
        <w:tc>
          <w:tcPr>
            <w:tcW w:type="dxa" w:w="2800"/>
            <w:shd w:fill="1F3864" w:val="clear"/>
            <w:tcMar>
              <w:top w:type="dxa" w:w="80"/>
              <w:left w:type="dxa" w:w="100"/>
              <w:bottom w:type="dxa" w:w="80"/>
              <w:right w:type="dxa" w:w="100"/>
            </w:tcMar>
            <w:vAlign w:val="center"/>
          </w:tcPr>
          <w:p>
            <w:pPr>
              <w:jc w:val="left"/>
            </w:pPr>
            <w:r>
              <w:rPr>
                <w:b/>
                <w:bCs/>
                <w:color w:val="FFFFFF"/>
                <w:sz w:val="20"/>
                <w:szCs w:val="20"/>
              </w:rPr>
              <w:t xml:space="preserve">SUI</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Termos testados</w:t>
            </w:r>
          </w:p>
        </w:tc>
        <w:tc>
          <w:tcPr>
            <w:tcW w:type="dxa" w:w="2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4.297</w:t>
            </w:r>
          </w:p>
        </w:tc>
        <w:tc>
          <w:tcPr>
            <w:tcW w:type="dxa" w:w="2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1.825</w:t>
            </w:r>
          </w:p>
        </w:tc>
      </w:tr>
      <w:tr>
        <w:tc>
          <w:tcPr>
            <w:tcW w:type="dxa" w:w="30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Significativos a FDR&lt;0,25</w:t>
            </w:r>
          </w:p>
        </w:tc>
        <w:tc>
          <w:tcPr>
            <w:tcW w:type="dxa" w:w="29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389</w:t>
            </w:r>
          </w:p>
        </w:tc>
        <w:tc>
          <w:tcPr>
            <w:tcW w:type="dxa" w:w="28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22</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Significativos a FDR&lt;0,05</w:t>
            </w:r>
          </w:p>
        </w:tc>
        <w:tc>
          <w:tcPr>
            <w:tcW w:type="dxa" w:w="2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116</w:t>
            </w:r>
          </w:p>
        </w:tc>
        <w:tc>
          <w:tcPr>
            <w:tcW w:type="dxa" w:w="2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5</w:t>
            </w:r>
          </w:p>
        </w:tc>
      </w:tr>
    </w:tbl>
    <w:p>
      <w:pPr>
        <w:spacing w:after="160" w:line="300"/>
      </w:pPr>
      <w:r>
        <w:rPr>
          <w:sz w:val="21"/>
          <w:szCs w:val="21"/>
        </w:rPr>
        <w:t xml:space="preserve">A diferença de escala entre POP e SUI é esperada: o SUI usa uma lista de genes menor (apenas os já publicados como DEG por Wei et al.) e tem apenas 3 amostras por grupo, o que reduz o poder estatístico. Mesmo assim, ambos mostram sinal biológico coerente:</w:t>
      </w:r>
    </w:p>
    <w:p>
      <w:pPr>
        <w:pStyle w:val="ListParagraph"/>
        <w:numPr>
          <w:ilvl w:val="0"/>
          <w:numId w:val="1"/>
        </w:numPr>
        <w:spacing w:after="90" w:line="280"/>
      </w:pPr>
      <w:r>
        <w:rPr>
          <w:sz w:val="21"/>
          <w:szCs w:val="21"/>
        </w:rPr>
        <w:t xml:space="preserve">POP: sinal forte em remodelação epitelial (queratinização, diferenciação de queratinócito) e biogênese de ribossomo/cromossomo.</w:t>
      </w:r>
    </w:p>
    <w:p>
      <w:pPr>
        <w:pStyle w:val="ListParagraph"/>
        <w:numPr>
          <w:ilvl w:val="0"/>
          <w:numId w:val="1"/>
        </w:numPr>
        <w:spacing w:after="90" w:line="280"/>
      </w:pPr>
      <w:r>
        <w:rPr>
          <w:sz w:val="21"/>
          <w:szCs w:val="21"/>
        </w:rPr>
        <w:t xml:space="preserve">SUI: sinal em contração muscular/fusão de mioblasto e sinalização PI3K/AKT — compatível com o mecanismo de fraqueza do esfíncter/assoalho pélvico descrito na literatura de SUI.</w:t>
      </w:r>
    </w:p>
    <w:p>
      <w:pPr>
        <w:pStyle w:val="ListParagraph"/>
        <w:numPr>
          <w:ilvl w:val="0"/>
          <w:numId w:val="1"/>
        </w:numPr>
        <w:spacing w:after="90" w:line="280"/>
      </w:pPr>
      <w:r>
        <w:rPr>
          <w:sz w:val="21"/>
          <w:szCs w:val="21"/>
        </w:rPr>
        <w:t xml:space="preserve">O termo "extracellular matrix organization" é individualmente significativo em POP (FDR=0,165, direção: diminuído) e apresenta a mesma direção em SUI, embora sem significância isolada — compatível com a hipótese de tecido conjuntivo, limitado pelo tamanho amostral do SUI.</w:t>
      </w:r>
    </w:p>
    <w:p>
      <w:pPr>
        <w:pStyle w:val="Heading2"/>
        <w:spacing w:after="120" w:before="300"/>
      </w:pPr>
      <w:r>
        <w:rPr>
          <w:b/>
          <w:bCs/>
          <w:color w:val="1F3864"/>
          <w:sz w:val="24"/>
          <w:szCs w:val="24"/>
        </w:rPr>
        <w:t xml:space="preserve">4.5 Achado mais robusto: queratinização / epiderme (POP)</w:t>
      </w:r>
    </w:p>
    <w:p>
      <w:pPr>
        <w:spacing w:after="160" w:line="300"/>
      </w:pPr>
      <w:r>
        <w:rPr>
          <w:sz w:val="21"/>
          <w:szCs w:val="21"/>
        </w:rPr>
        <w:t xml:space="preserve">O sinal mais forte e consistente encontrado em POP — presente no GSEA, replicado de forma independente nos dados reais (genes KRT1 e KRT10 com FDR&lt;0,05 nos 163 DEGs) — corresponde exatamente ao achado mais citado no artigo publicado de Li et al. (2021, Nature Communications), que descreve "cornification and epidermal cell differentiation" ativados em POP usando dados de single-cell RNA-seq. A convergência entre três fontes independentes (nossa análise em bulk RNA-seq, GSEA, e o estudo de single-cell publicado) reforça a confiabilidade desse achado específico.</w:t>
      </w:r>
    </w:p>
    <w:p>
      <w:pPr>
        <w:pStyle w:val="Heading1"/>
        <w:pBdr>
          <w:bottom w:val="single" w:color="2E74B5" w:sz="6" w:space="4"/>
        </w:pBdr>
        <w:spacing w:after="200" w:before="400"/>
      </w:pPr>
      <w:r>
        <w:rPr>
          <w:b/>
          <w:bCs/>
          <w:color w:val="1F3864"/>
          <w:sz w:val="30"/>
          <w:szCs w:val="30"/>
        </w:rPr>
        <w:t xml:space="preserve">5. Validação Externa — Comparação com a Literatura</w:t>
      </w:r>
    </w:p>
    <w:p>
      <w:pPr>
        <w:pStyle w:val="ListParagraph"/>
        <w:numPr>
          <w:ilvl w:val="0"/>
          <w:numId w:val="1"/>
        </w:numPr>
        <w:spacing w:after="90" w:line="280"/>
      </w:pPr>
      <w:r>
        <w:rPr>
          <w:b/>
          <w:bCs/>
          <w:sz w:val="21"/>
          <w:szCs w:val="21"/>
        </w:rPr>
        <w:t xml:space="preserve">Li et al., 2021 (Nature Communications) — </w:t>
      </w:r>
      <w:r>
        <w:rPr>
          <w:sz w:val="21"/>
          <w:szCs w:val="21"/>
        </w:rPr>
        <w:t xml:space="preserve">Perfil de single-cell RNA-seq da parede vaginal em POP severo (81.026 células, 16 POP vs 5 controle). Identificou desregulação de ECM e envolvimento imune em múltiplos tipos celulares, com queratinização/diferenciação epidérmica como um dos achados centrais — replicado em nossos dados bulk.</w:t>
      </w:r>
    </w:p>
    <w:p>
      <w:pPr>
        <w:pStyle w:val="ListParagraph"/>
        <w:numPr>
          <w:ilvl w:val="0"/>
          <w:numId w:val="1"/>
        </w:numPr>
        <w:spacing w:after="90" w:line="280"/>
      </w:pPr>
      <w:r>
        <w:rPr>
          <w:b/>
          <w:bCs/>
          <w:sz w:val="21"/>
          <w:szCs w:val="21"/>
        </w:rPr>
        <w:t xml:space="preserve">Zhang et al., 2024 (Experimental Cell Research) — </w:t>
      </w:r>
      <w:r>
        <w:rPr>
          <w:sz w:val="21"/>
          <w:szCs w:val="21"/>
        </w:rPr>
        <w:t xml:space="preserve">Perfil de single-cell RNA-seq da parede vaginal anterior em SUI (43.236 células, 4 SUI vs 2 controle). Identificou redução de fibroblastos/miofibroblastos, redução de colágeno (confirmada por coloração de tecido) e comunicação célula-célula alterada via vias de COLÁGENO, LAMININA e TGFβ entre fibroblastos e células T — apoio direto à hipótese de fragilidade de tecido conjuntivo em SUI.</w:t>
      </w:r>
    </w:p>
    <w:p>
      <w:pPr>
        <w:spacing w:after="160" w:line="300"/>
      </w:pPr>
      <w:r>
        <w:rPr>
          <w:sz w:val="21"/>
          <w:szCs w:val="21"/>
        </w:rPr>
        <w:t xml:space="preserve">Ambos os estudos usam single-cell RNA-seq (resolução por tipo celular), enquanto este projeto usa RNA-seq/microarray bulk (média de todas as células do tecido). Isso explica por que alguns genes especificamente validados nesses artigos — sobretudo os concentrados em tipos celulares minoritários, como macrófagos (~7,5% do tecido) — não aparecem nos nossos DEGs: o sinal é diluído pela média do tecido inteiro. Sinais amplamente compartilhados entre tipos celulares (como a queratinização) sobrevivem a essa média e replicam corretamente.</w:t>
      </w:r>
    </w:p>
    <w:p>
      <w:pPr>
        <w:pStyle w:val="Heading1"/>
        <w:pBdr>
          <w:bottom w:val="single" w:color="2E74B5" w:sz="6" w:space="4"/>
        </w:pBdr>
        <w:spacing w:after="200" w:before="400"/>
      </w:pPr>
      <w:r>
        <w:rPr>
          <w:b/>
          <w:bCs/>
          <w:color w:val="1F3864"/>
          <w:sz w:val="30"/>
          <w:szCs w:val="30"/>
        </w:rPr>
        <w:t xml:space="preserve">6. Limitações Reconhecidas</w:t>
      </w:r>
    </w:p>
    <w:p>
      <w:pPr>
        <w:pStyle w:val="ListParagraph"/>
        <w:numPr>
          <w:ilvl w:val="0"/>
          <w:numId w:val="1"/>
        </w:numPr>
        <w:spacing w:after="90" w:line="280"/>
      </w:pPr>
      <w:r>
        <w:rPr>
          <w:sz w:val="21"/>
          <w:szCs w:val="21"/>
        </w:rPr>
        <w:t xml:space="preserve">RNA-seq/microarray bulk não distingue tipos celulares — sinais concentrados numa população celular minoritária (ex. macrófagos) ficam diluídos na média do tecido.</w:t>
      </w:r>
    </w:p>
    <w:p>
      <w:pPr>
        <w:pStyle w:val="ListParagraph"/>
        <w:numPr>
          <w:ilvl w:val="0"/>
          <w:numId w:val="1"/>
        </w:numPr>
        <w:spacing w:after="90" w:line="280"/>
      </w:pPr>
      <w:r>
        <w:rPr>
          <w:sz w:val="21"/>
          <w:szCs w:val="21"/>
        </w:rPr>
        <w:t xml:space="preserve">O grupo Controle de POP mistura dois tecidos (ligamento uterossacral + parede vaginal), o que adiciona variância ao grupo controle e pode reduzir o poder estatístico.</w:t>
      </w:r>
    </w:p>
    <w:p>
      <w:pPr>
        <w:pStyle w:val="ListParagraph"/>
        <w:numPr>
          <w:ilvl w:val="0"/>
          <w:numId w:val="1"/>
        </w:numPr>
        <w:spacing w:after="90" w:line="280"/>
      </w:pPr>
      <w:r>
        <w:rPr>
          <w:sz w:val="21"/>
          <w:szCs w:val="21"/>
        </w:rPr>
        <w:t xml:space="preserve">SUI tem apenas 3 amostras por grupo e utiliza somente a lista de genes já publicada como significativa pelos autores originais (não o array completo) — limita tanto o poder estatístico quanto o universo de genes testável.</w:t>
      </w:r>
    </w:p>
    <w:p>
      <w:pPr>
        <w:pStyle w:val="ListParagraph"/>
        <w:numPr>
          <w:ilvl w:val="0"/>
          <w:numId w:val="1"/>
        </w:numPr>
        <w:spacing w:after="90" w:line="280"/>
      </w:pPr>
      <w:r>
        <w:rPr>
          <w:sz w:val="21"/>
          <w:szCs w:val="21"/>
        </w:rPr>
        <w:t xml:space="preserve">Com milhares de termos GO testados, exigir significância independente em AMBAS as doenças simultaneamente é uma barra estatística exigente — a lista de termos "compartilhados" tende a parecer menor do que a sobreposição biológica real.</w:t>
      </w:r>
    </w:p>
    <w:p>
      <w:pPr>
        <w:pStyle w:val="ListParagraph"/>
        <w:numPr>
          <w:ilvl w:val="0"/>
          <w:numId w:val="1"/>
        </w:numPr>
        <w:spacing w:after="90" w:line="280"/>
      </w:pPr>
      <w:r>
        <w:rPr>
          <w:sz w:val="21"/>
          <w:szCs w:val="21"/>
        </w:rPr>
        <w:t xml:space="preserve">GSVA depende de compilação de pacotes com código C/C++ (via Rtools no Windows) e pode não instalar em todos os ambientes — quando isso ocorre, essa etapa é pulada automaticamente sem afetar o restante da análise.</w:t>
      </w:r>
    </w:p>
    <w:p>
      <w:pPr>
        <w:pStyle w:val="Heading1"/>
        <w:pBdr>
          <w:bottom w:val="single" w:color="2E74B5" w:sz="6" w:space="4"/>
        </w:pBdr>
        <w:spacing w:after="200" w:before="400"/>
      </w:pPr>
      <w:r>
        <w:rPr>
          <w:b/>
          <w:bCs/>
          <w:color w:val="1F3864"/>
          <w:sz w:val="30"/>
          <w:szCs w:val="30"/>
        </w:rPr>
        <w:t xml:space="preserve">7. Conclusão</w:t>
      </w:r>
    </w:p>
    <w:p>
      <w:pPr>
        <w:spacing w:after="160" w:line="300"/>
      </w:pPr>
      <w:r>
        <w:rPr>
          <w:sz w:val="21"/>
          <w:szCs w:val="21"/>
        </w:rPr>
        <w:t xml:space="preserve">A análise identificou uma via biológica plausível de convergência entre POP e SUI centrada em disfunção de matriz extracelular/tecido conjuntivo, com apoio adicional da literatura publicada em single-cell RNA-seq para ambas as condições. O achado mais robusto e replicado (queratinização/diferenciação epidérmica em POP) foi confirmado por três abordagens estatísticas independentes e por um estudo publicado de terceiros. O motor de cálculo do GSEA desenvolvido para este projeto foi validado contra o pacote oficial da comunidade científica (fgsea), com forte concordância. As limitações identificadas são inerentes ao tipo de dado disponível (bulk, não single-cell) e ao tamanho amostral do estudo original de SUI — não a falhas na metodologia aplicada.</w:t>
      </w:r>
    </w:p>
    <w:p>
      <w:pPr>
        <w:spacing w:after="160" w:line="300"/>
      </w:pPr>
      <w:r>
        <w:rPr>
          <w:i/>
          <w:iCs/>
          <w:color w:val="444444"/>
          <w:sz w:val="21"/>
          <w:szCs w:val="21"/>
        </w:rPr>
        <w:t xml:space="preserve">Próximo passo planejado (fora deste resumo): análise complementar de superrepresentação (ORA) diretamente na plataforma STRING, como conferência independente adicional sobre os DEGs já identificados.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2026-09-06T06:00:04.576Z</dcterms:created>
  <dcterms:modified xsi:type="dcterms:W3CDTF">2026-09-06T06:00:04.576Z</dcterms:modified>
</cp:coreProperties>
</file>

<file path=docProps/custom.xml><?xml version="1.0" encoding="utf-8"?>
<Properties xmlns="http://schemas.openxmlformats.org/officeDocument/2006/custom-properties" xmlns:vt="http://schemas.openxmlformats.org/officeDocument/2006/docPropsVTypes"/>
</file>