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Literature &amp; Landscape Review</w:t>
      </w:r>
    </w:p>
    <w:p>
      <w:pPr/>
      <w:r>
        <w:t xml:space="preserve">FinFusionNet: news-headline sentiment, multimodal fusion and out-of-sample predictability in Indian equities. Review edition of 16 October 2026, prepared from an AI-assisted literature scan and then audited line by line.</w:t>
      </w:r>
    </w:p>
    <w:p>
      <w:pPr>
        <w:pStyle w:val="Heading2"/>
      </w:pPr>
      <w:r>
        <w:t xml:space="preserve">About this edition</w:t>
      </w:r>
    </w:p>
    <w:p>
      <w:pPr/>
      <w:r>
        <w:t xml:space="preserve">This document restructures a Gemini Deep Research output into a thesis-ready review. It corrects errors found on audit, removes weak sources, and labels every reference with a verification status. Treat it as a map of the literature, not as a bibliography: every reference must be opened and checked before it enters the thesis.</w:t>
      </w:r>
    </w:p>
    <w:p>
      <w:pPr/>
      <w:r>
        <w:t xml:space="preserve">Status labels used in the tables:</w:t>
      </w:r>
    </w:p>
    <w:p>
      <w:pPr>
        <w:pStyle w:val="ListParagraph"/>
        <w:numPr>
          <w:ilvl w:val="0"/>
          <w:numId w:val="2"/>
        </w:numPr>
      </w:pPr>
      <w:r>
        <w:rPr>
          <w:b/>
        </w:rPr>
        <w:t xml:space="preserve">V</w:t>
      </w:r>
      <w:r>
        <w:t xml:space="preserve">: checked directly during this review (abstract or source page read).</w:t>
      </w:r>
    </w:p>
    <w:p>
      <w:pPr>
        <w:pStyle w:val="ListParagraph"/>
        <w:numPr>
          <w:ilvl w:val="0"/>
          <w:numId w:val="2"/>
        </w:numPr>
      </w:pPr>
      <w:r>
        <w:rPr>
          <w:b/>
        </w:rPr>
        <w:t xml:space="preserve">C</w:t>
      </w:r>
      <w:r>
        <w:t xml:space="preserve">: canonical work I am confident exists; bibliographic details (pages, DOI) still need a check.</w:t>
      </w:r>
    </w:p>
    <w:p>
      <w:pPr>
        <w:pStyle w:val="ListParagraph"/>
        <w:numPr>
          <w:ilvl w:val="0"/>
          <w:numId w:val="2"/>
        </w:numPr>
      </w:pPr>
      <w:r>
        <w:rPr>
          <w:b/>
        </w:rPr>
        <w:t xml:space="preserve">U</w:t>
      </w:r>
      <w:r>
        <w:t xml:space="preserve">: reported by the scan but not independently confirmed. Do not cite until verified.</w:t>
      </w:r>
    </w:p>
    <w:p>
      <w:pPr/>
      <w:r>
        <w:t xml:space="preserve">Excluded on quality grounds: market-statistics blogs (Quantumrun, Jarvis Invest), Scribd and ResearchGate mirrors, and legal-blog interpretations of SEBI circulars.</w:t>
      </w:r>
    </w:p>
    <w:p>
      <w:pPr>
        <w:pStyle w:val="Heading2"/>
      </w:pPr>
      <w:r>
        <w:t xml:space="preserve">1. Executive summary</w:t>
      </w:r>
    </w:p>
    <w:p>
      <w:pPr>
        <w:pStyle w:val="ListParagraph"/>
        <w:numPr>
          <w:ilvl w:val="0"/>
          <w:numId w:val="3"/>
        </w:numPr>
      </w:pPr>
      <w:r>
        <w:t xml:space="preserve">The literature splits in two. Engineering papers report 60% to 93% directional accuracy, usually on small samples with a single split. Finance-economics studies find near-zero daily predictability for liquid large caps.</w:t>
      </w:r>
    </w:p>
    <w:p>
      <w:pPr>
        <w:pStyle w:val="ListParagraph"/>
        <w:numPr>
          <w:ilvl w:val="0"/>
          <w:numId w:val="3"/>
        </w:numPr>
      </w:pPr>
      <w:r>
        <w:t xml:space="preserve">Fine-tuned encoders such as FinBERT classify sentence tone well (86% accuracy on the full Financial PhraseBank, about 97% on the all-agree subset), but tone accuracy does not transfer to return prediction.</w:t>
      </w:r>
    </w:p>
    <w:p>
      <w:pPr>
        <w:pStyle w:val="ListParagraph"/>
        <w:numPr>
          <w:ilvl w:val="0"/>
          <w:numId w:val="3"/>
        </w:numPr>
      </w:pPr>
      <w:r>
        <w:t xml:space="preserve">The strongest evidence for text-based return predictability uses large language models, not BERT-class models. In Lopez-Lira and Tang, GPT-1, GPT-2 and BERT scores produced negative Sharpe ratios, while GPT-4 produced a positive one. Predictability was stronger in smaller stocks and after negative news, and strategy returns declined as LLM adoption rose.</w:t>
      </w:r>
    </w:p>
    <w:p>
      <w:pPr>
        <w:pStyle w:val="ListParagraph"/>
        <w:numPr>
          <w:ilvl w:val="0"/>
          <w:numId w:val="3"/>
        </w:numPr>
      </w:pPr>
      <w:r>
        <w:t xml:space="preserve">Realistic out-of-sample daily accuracy on well-designed benchmarks is about 52% to 58%. StockNet reports 58.2% with an MCC of about 0.08.</w:t>
      </w:r>
    </w:p>
    <w:p>
      <w:pPr>
        <w:pStyle w:val="ListParagraph"/>
        <w:numPr>
          <w:ilvl w:val="0"/>
          <w:numId w:val="3"/>
        </w:numPr>
      </w:pPr>
      <w:r>
        <w:t xml:space="preserve">Pooled stock-day panels have strong cross-sectional dependence through the common market factor. Row-level tests overstate significance, so inference must be clustered by date.</w:t>
      </w:r>
    </w:p>
    <w:p>
      <w:pPr>
        <w:pStyle w:val="ListParagraph"/>
        <w:numPr>
          <w:ilvl w:val="0"/>
          <w:numId w:val="3"/>
        </w:numPr>
      </w:pPr>
      <w:r>
        <w:t xml:space="preserve">Indian NIFTY 50 sentiment studies found in this scan are mostly small, single-split, or published in low-tier venues. None found controls for news availability. This is a statement about the scan, not proof of absence.</w:t>
      </w:r>
    </w:p>
    <w:p>
      <w:pPr>
        <w:pStyle w:val="ListParagraph"/>
        <w:numPr>
          <w:ilvl w:val="0"/>
          <w:numId w:val="3"/>
        </w:numPr>
      </w:pPr>
      <w:r>
        <w:t xml:space="preserve">News volume tends to carry more information than tone, especially for volatility and jumps. This supports the news-availability control used in FinFusionNet.</w:t>
      </w:r>
    </w:p>
    <w:p>
      <w:pPr>
        <w:pStyle w:val="ListParagraph"/>
        <w:numPr>
          <w:ilvl w:val="0"/>
          <w:numId w:val="3"/>
        </w:numPr>
      </w:pPr>
      <w:r>
        <w:t xml:space="preserve">The 2021 to 2026 window contains structural breaks (T+1 settlement, 2024 index-derivatives curbs, the 2025 retail-algo framework) and corporate-action traps (HDFC merger, Jio Financial demerger, Zomato to Eternal, Tata Motors demerger).</w:t>
      </w:r>
    </w:p>
    <w:p>
      <w:pPr>
        <w:pStyle w:val="ListParagraph"/>
        <w:numPr>
          <w:ilvl w:val="0"/>
          <w:numId w:val="3"/>
        </w:numPr>
      </w:pPr>
      <w:r>
        <w:t xml:space="preserve">FinFusionNet's own result, no detectable sentiment gain with a 95% interval of about plus or minus 1 point, fits this literature. Its scope must be stated carefully: it concerns FinBERT and VADER daily headline scores, not all news information.</w:t>
      </w:r>
    </w:p>
    <w:p>
      <w:pPr>
        <w:pStyle w:val="Heading2"/>
      </w:pPr>
      <w:r>
        <w:t xml:space="preserve">2. State of research</w:t>
      </w:r>
    </w:p>
    <w:p>
      <w:pPr>
        <w:pStyle w:val="Heading3"/>
      </w:pPr>
      <w:r>
        <w:t xml:space="preserve">2.1 Sentiment measurement</w:t>
      </w:r>
    </w:p>
    <w:p>
      <w:pPr/>
      <w:r>
        <w:t xml:space="preserve">Three generations are in use: dictionaries, domain-adapted encoders and generative LLMs.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Work</w:t>
            </w:r>
          </w:p>
        </w:tc>
        <w:tc>
          <w:tcPr>
            <w:tcW w:w="3120" w:type="dxa"/>
            <w:shd w:val="clear" w:color="auto" w:fill="F2F2F2"/>
          </w:tcPr>
          <w:p>
            <w:pPr/>
            <w:r>
              <w:t xml:space="preserve">Contribution</w:t>
            </w:r>
          </w:p>
        </w:tc>
        <w:tc>
          <w:tcPr>
            <w:tcW w:w="3120" w:type="dxa"/>
            <w:shd w:val="clear" w:color="auto" w:fill="F2F2F2"/>
          </w:tcPr>
          <w:p>
            <w:pPr/>
            <w:r>
              <w:t xml:space="preserve">Status</w:t>
            </w:r>
          </w:p>
        </w:tc>
      </w:tr>
      <w:tr>
        <w:tc>
          <w:tcPr>
            <w:tcW w:w="3120" w:type="dxa"/>
          </w:tcPr>
          <w:p>
            <w:pPr/>
            <w:r>
              <w:t xml:space="preserve">Loughran and McDonald (2011), Journal of Finance</w:t>
            </w:r>
          </w:p>
        </w:tc>
        <w:tc>
          <w:tcPr>
            <w:tcW w:w="3120" w:type="dxa"/>
          </w:tcPr>
          <w:p>
            <w:pPr/>
            <w:r>
              <w:t xml:space="preserve">Finance-specific word lists; general dictionaries misclassify financial terms</w:t>
            </w:r>
          </w:p>
        </w:tc>
        <w:tc>
          <w:tcPr>
            <w:tcW w:w="3120" w:type="dxa"/>
          </w:tcPr>
          <w:p>
            <w:pPr/>
            <w:r>
              <w:t xml:space="preserve">C</w:t>
            </w:r>
          </w:p>
        </w:tc>
      </w:tr>
      <w:tr>
        <w:tc>
          <w:tcPr>
            <w:tcW w:w="3120" w:type="dxa"/>
          </w:tcPr>
          <w:p>
            <w:pPr/>
            <w:r>
              <w:t xml:space="preserve">Hutto and Gilbert (2014), ICWSM</w:t>
            </w:r>
          </w:p>
        </w:tc>
        <w:tc>
          <w:tcPr>
            <w:tcW w:w="3120" w:type="dxa"/>
          </w:tcPr>
          <w:p>
            <w:pPr/>
            <w:r>
              <w:t xml:space="preserve">VADER: rule-based polarity scores in [-1, +1]; fast, but weak on financial idiom and negation</w:t>
            </w:r>
          </w:p>
        </w:tc>
        <w:tc>
          <w:tcPr>
            <w:tcW w:w="3120" w:type="dxa"/>
          </w:tcPr>
          <w:p>
            <w:pPr/>
            <w:r>
              <w:t xml:space="preserve">C</w:t>
            </w:r>
          </w:p>
        </w:tc>
      </w:tr>
      <w:tr>
        <w:tc>
          <w:tcPr>
            <w:tcW w:w="3120" w:type="dxa"/>
          </w:tcPr>
          <w:p>
            <w:pPr/>
            <w:r>
              <w:t xml:space="preserve">Araci (2019), arXiv 1908.10063</w:t>
            </w:r>
          </w:p>
        </w:tc>
        <w:tc>
          <w:tcPr>
            <w:tcW w:w="3120" w:type="dxa"/>
          </w:tcPr>
          <w:p>
            <w:pPr/>
            <w:r>
              <w:t xml:space="preserve">ProsusAI/finbert: BERT-base further pre-trained on TRC2-financial, fine-tuned on Financial PhraseBank; 86% accuracy (F1 0.84) full set, about 97% all-agree</w:t>
            </w:r>
          </w:p>
        </w:tc>
        <w:tc>
          <w:tcPr>
            <w:tcW w:w="3120" w:type="dxa"/>
          </w:tcPr>
          <w:p>
            <w:pPr/>
            <w:r>
              <w:t xml:space="preserve">C</w:t>
            </w:r>
          </w:p>
        </w:tc>
      </w:tr>
      <w:tr>
        <w:tc>
          <w:tcPr>
            <w:tcW w:w="3120" w:type="dxa"/>
          </w:tcPr>
          <w:p>
            <w:pPr/>
            <w:r>
              <w:t xml:space="preserve">Yang, Uy and Huang (2020), arXiv 2006.08097</w:t>
            </w:r>
          </w:p>
        </w:tc>
        <w:tc>
          <w:tcPr>
            <w:tcW w:w="3120" w:type="dxa"/>
          </w:tcPr>
          <w:p>
            <w:pPr/>
            <w:r>
              <w:t xml:space="preserve">finbert-tone: pre-trained on 4.9B tokens of 10-K/10-Q filings, earnings calls and analyst reports with a finance vocabulary</w:t>
            </w:r>
          </w:p>
        </w:tc>
        <w:tc>
          <w:tcPr>
            <w:tcW w:w="3120" w:type="dxa"/>
          </w:tcPr>
          <w:p>
            <w:pPr/>
            <w:r>
              <w:t xml:space="preserve">C</w:t>
            </w:r>
          </w:p>
        </w:tc>
      </w:tr>
      <w:tr>
        <w:tc>
          <w:tcPr>
            <w:tcW w:w="3120" w:type="dxa"/>
          </w:tcPr>
          <w:p>
            <w:pPr/>
            <w:r>
              <w:t xml:space="preserve">Wu et al. (2023), arXiv 2303.17564</w:t>
            </w:r>
          </w:p>
        </w:tc>
        <w:tc>
          <w:tcPr>
            <w:tcW w:w="3120" w:type="dxa"/>
          </w:tcPr>
          <w:p>
            <w:pPr/>
            <w:r>
              <w:t xml:space="preserve">BloombergGPT: 50B-parameter model trained on mixed proprietary and general text</w:t>
            </w:r>
          </w:p>
        </w:tc>
        <w:tc>
          <w:tcPr>
            <w:tcW w:w="3120" w:type="dxa"/>
          </w:tcPr>
          <w:p>
            <w:pPr/>
            <w:r>
              <w:t xml:space="preserve">C</w:t>
            </w:r>
          </w:p>
        </w:tc>
      </w:tr>
      <w:tr>
        <w:tc>
          <w:tcPr>
            <w:tcW w:w="3120" w:type="dxa"/>
          </w:tcPr>
          <w:p>
            <w:pPr/>
            <w:r>
              <w:t xml:space="preserve">Li et al. (2023), EMNLP Industry Track</w:t>
            </w:r>
          </w:p>
        </w:tc>
        <w:tc>
          <w:tcPr>
            <w:tcW w:w="3120" w:type="dxa"/>
          </w:tcPr>
          <w:p>
            <w:pPr/>
            <w:r>
              <w:t xml:space="preserve">Benchmarks ChatGPT and GPT-4 against fine-tuned models on financial text tasks; fine-tuned domain models stay competitive on standard sentiment benchmarks</w:t>
            </w:r>
          </w:p>
        </w:tc>
        <w:tc>
          <w:tcPr>
            <w:tcW w:w="3120" w:type="dxa"/>
          </w:tcPr>
          <w:p>
            <w:pPr/>
            <w:r>
              <w:t xml:space="preserve">C</w:t>
            </w:r>
          </w:p>
        </w:tc>
      </w:tr>
      <w:tr>
        <w:tc>
          <w:tcPr>
            <w:tcW w:w="3120" w:type="dxa"/>
          </w:tcPr>
          <w:p>
            <w:pPr/>
            <w:r>
              <w:t xml:space="preserve">Shah and Chava (2023), arXiv 2305.16633, "Zero is Not Hero Yet"</w:t>
            </w:r>
          </w:p>
        </w:tc>
        <w:tc>
          <w:tcPr>
            <w:tcW w:w="3120" w:type="dxa"/>
          </w:tcPr>
          <w:p>
            <w:pPr/>
            <w:r>
              <w:t xml:space="preserve">Zero-shot LLM performance on financial tasks</w:t>
            </w:r>
          </w:p>
        </w:tc>
        <w:tc>
          <w:tcPr>
            <w:tcW w:w="3120" w:type="dxa"/>
          </w:tcPr>
          <w:p>
            <w:pPr/>
            <w:r>
              <w:t xml:space="preserve">C (title corrected from the scan)</w:t>
            </w:r>
          </w:p>
        </w:tc>
      </w:tr>
    </w:tbl>
    <w:p>
      <w:pPr>
        <w:pStyle w:val="Heading3"/>
      </w:pPr>
      <w:r>
        <w:t xml:space="preserve">2.2 LLM return predictability</w:t>
      </w:r>
    </w:p>
    <w:p>
      <w:pPr/>
      <w:r>
        <w:t xml:space="preserve">Lopez-Lira and Tang, "Can ChatGPT Forecast Stock Price Movements?" (arXiv 2304.07619; journal publication status to be confirmed):</w:t>
      </w:r>
    </w:p>
    <w:p>
      <w:pPr>
        <w:pStyle w:val="ListParagraph"/>
        <w:numPr>
          <w:ilvl w:val="0"/>
          <w:numId w:val="4"/>
        </w:numPr>
      </w:pPr>
      <w:r>
        <w:t xml:space="preserve">GPT-4 scores on news headlines produced the highest long-short Sharpe ratio (3.28 in the later arXiv version), against 1.79 for GPT-3.5 and 1.61 for DistilBART-MNLI. GPT-1, GPT-2 and BERT produced negative Sharpe ratios. Status: V.</w:t>
      </w:r>
    </w:p>
    <w:p>
      <w:pPr>
        <w:pStyle w:val="ListParagraph"/>
        <w:numPr>
          <w:ilvl w:val="0"/>
          <w:numId w:val="4"/>
        </w:numPr>
      </w:pPr>
      <w:r>
        <w:t xml:space="preserve">Predictability is stronger among smaller stocks and after negative news, and strategy returns decline as LLM adoption rises. Status: V.</w:t>
      </w:r>
    </w:p>
    <w:p>
      <w:pPr>
        <w:pStyle w:val="ListParagraph"/>
        <w:numPr>
          <w:ilvl w:val="0"/>
          <w:numId w:val="4"/>
        </w:numPr>
      </w:pPr>
      <w:r>
        <w:t xml:space="preserve">Reported numbers differ across arXiv versions (an earlier version reports a Sharpe of 3.8), so cite the exact version used.</w:t>
      </w:r>
    </w:p>
    <w:p>
      <w:pPr>
        <w:pStyle w:val="ListParagraph"/>
        <w:numPr>
          <w:ilvl w:val="0"/>
          <w:numId w:val="4"/>
        </w:numPr>
      </w:pPr>
      <w:r>
        <w:t xml:space="preserve">Claims about a 55% hit rate and overnight versus intraday splits were not confirmed. Status: U.</w:t>
      </w:r>
    </w:p>
    <w:p>
      <w:pPr/>
      <w:r>
        <w:t xml:space="preserve">Kirtac and Germano (2024), Finance Research Letters 62, report that LLM-based sentiment strategies beat dictionary baselines in US equities (arXiv 2412.19245). Status: C.</w:t>
      </w:r>
    </w:p>
    <w:p>
      <w:pPr>
        <w:pStyle w:val="Heading3"/>
      </w:pPr>
      <w:r>
        <w:t xml:space="preserve">2.3 Hybrid and cross-attention fusion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Work</w:t>
            </w:r>
          </w:p>
        </w:tc>
        <w:tc>
          <w:tcPr>
            <w:tcW w:w="3120" w:type="dxa"/>
            <w:shd w:val="clear" w:color="auto" w:fill="F2F2F2"/>
          </w:tcPr>
          <w:p>
            <w:pPr/>
            <w:r>
              <w:t xml:space="preserve">What it does</w:t>
            </w:r>
          </w:p>
        </w:tc>
        <w:tc>
          <w:tcPr>
            <w:tcW w:w="3120" w:type="dxa"/>
            <w:shd w:val="clear" w:color="auto" w:fill="F2F2F2"/>
          </w:tcPr>
          <w:p>
            <w:pPr/>
            <w:r>
              <w:t xml:space="preserve">Status</w:t>
            </w:r>
          </w:p>
        </w:tc>
      </w:tr>
      <w:tr>
        <w:tc>
          <w:tcPr>
            <w:tcW w:w="3120" w:type="dxa"/>
          </w:tcPr>
          <w:p>
            <w:pPr/>
            <w:r>
              <w:t xml:space="preserve">Xu and Cohen (2018), ACL</w:t>
            </w:r>
          </w:p>
        </w:tc>
        <w:tc>
          <w:tcPr>
            <w:tcW w:w="3120" w:type="dxa"/>
          </w:tcPr>
          <w:p>
            <w:pPr/>
            <w:r>
              <w:t xml:space="preserve">StockNet: recurrent variational model over tweets and prices for 88 US stocks; 58.23% accuracy, MCC about 0.08</w:t>
            </w:r>
          </w:p>
        </w:tc>
        <w:tc>
          <w:tcPr>
            <w:tcW w:w="3120" w:type="dxa"/>
          </w:tcPr>
          <w:p>
            <w:pPr/>
            <w:r>
              <w:t xml:space="preserve">C</w:t>
            </w:r>
          </w:p>
        </w:tc>
      </w:tr>
      <w:tr>
        <w:tc>
          <w:tcPr>
            <w:tcW w:w="3120" w:type="dxa"/>
          </w:tcPr>
          <w:p>
            <w:pPr/>
            <w:r>
              <w:t xml:space="preserve">Sawhney et al. (2020), EMNLP</w:t>
            </w:r>
          </w:p>
        </w:tc>
        <w:tc>
          <w:tcPr>
            <w:tcW w:w="3120" w:type="dxa"/>
          </w:tcPr>
          <w:p>
            <w:pPr/>
            <w:r>
              <w:t xml:space="preserve">MAN-SF: attention over text, prices and inter-stock graphs</w:t>
            </w:r>
          </w:p>
        </w:tc>
        <w:tc>
          <w:tcPr>
            <w:tcW w:w="3120" w:type="dxa"/>
          </w:tcPr>
          <w:p>
            <w:pPr/>
            <w:r>
              <w:t xml:space="preserve">C</w:t>
            </w:r>
          </w:p>
        </w:tc>
      </w:tr>
      <w:tr>
        <w:tc>
          <w:tcPr>
            <w:tcW w:w="3120" w:type="dxa"/>
          </w:tcPr>
          <w:p>
            <w:pPr/>
            <w:r>
              <w:t xml:space="preserve">Gated cross-attention fusion (arXiv 2406.06594)</w:t>
            </w:r>
          </w:p>
        </w:tc>
        <w:tc>
          <w:tcPr>
            <w:tcW w:w="3120" w:type="dxa"/>
          </w:tcPr>
          <w:p>
            <w:pPr/>
            <w:r>
              <w:t xml:space="preserve">Price-guided gating to suppress noisy text</w:t>
            </w:r>
          </w:p>
        </w:tc>
        <w:tc>
          <w:tcPr>
            <w:tcW w:w="3120" w:type="dxa"/>
          </w:tcPr>
          <w:p>
            <w:pPr/>
            <w:r>
              <w:t xml:space="preserve">U</w:t>
            </w:r>
          </w:p>
        </w:tc>
      </w:tr>
      <w:tr>
        <w:tc>
          <w:tcPr>
            <w:tcW w:w="3120" w:type="dxa"/>
          </w:tcPr>
          <w:p>
            <w:pPr/>
            <w:r>
              <w:t xml:space="preserve">CGCMA (arXiv 2604.16411), PaCMoE, MCI-GRU</w:t>
            </w:r>
          </w:p>
        </w:tc>
        <w:tc>
          <w:tcPr>
            <w:tcW w:w="3120" w:type="dxa"/>
          </w:tcPr>
          <w:p>
            <w:pPr/>
            <w:r>
              <w:t xml:space="preserve">Recent single-pass and mixture-of-experts fusion variants on the StockNet benchmark</w:t>
            </w:r>
          </w:p>
        </w:tc>
        <w:tc>
          <w:tcPr>
            <w:tcW w:w="3120" w:type="dxa"/>
          </w:tcPr>
          <w:p>
            <w:pPr/>
            <w:r>
              <w:t xml:space="preserve">U</w:t>
            </w:r>
          </w:p>
        </w:tc>
      </w:tr>
    </w:tbl>
    <w:p>
      <w:pPr/>
      <w:r>
        <w:t xml:space="preserve">Takeaway: cross-attention fusion is established, so it cannot be the thesis contribution. Reported gains over strong price baselines are small. Treat the "1 to 2.5 points" figure in the original scan as unverified.</w:t>
      </w:r>
    </w:p>
    <w:p>
      <w:pPr>
        <w:pStyle w:val="Heading3"/>
      </w:pPr>
      <w:r>
        <w:t xml:space="preserve">2.4 Indian market studies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Study</w:t>
            </w:r>
          </w:p>
        </w:tc>
        <w:tc>
          <w:tcPr>
            <w:tcW w:w="1872" w:type="dxa"/>
            <w:shd w:val="clear" w:color="auto" w:fill="F2F2F2"/>
          </w:tcPr>
          <w:p>
            <w:pPr/>
            <w:r>
              <w:t xml:space="preserve">Setup</w:t>
            </w:r>
          </w:p>
        </w:tc>
        <w:tc>
          <w:tcPr>
            <w:tcW w:w="1872" w:type="dxa"/>
            <w:shd w:val="clear" w:color="auto" w:fill="F2F2F2"/>
          </w:tcPr>
          <w:p>
            <w:pPr/>
            <w:r>
              <w:t xml:space="preserve">Reported result</w:t>
            </w:r>
          </w:p>
        </w:tc>
        <w:tc>
          <w:tcPr>
            <w:tcW w:w="1872" w:type="dxa"/>
            <w:shd w:val="clear" w:color="auto" w:fill="F2F2F2"/>
          </w:tcPr>
          <w:p>
            <w:pPr/>
            <w:r>
              <w:t xml:space="preserve">Caveats</w:t>
            </w:r>
          </w:p>
        </w:tc>
        <w:tc>
          <w:tcPr>
            <w:tcW w:w="1872" w:type="dxa"/>
            <w:shd w:val="clear" w:color="auto" w:fill="F2F2F2"/>
          </w:tcPr>
          <w:p>
            <w:pPr/>
            <w:r>
              <w:t xml:space="preserve">Status</w:t>
            </w:r>
          </w:p>
        </w:tc>
      </w:tr>
      <w:tr>
        <w:tc>
          <w:tcPr>
            <w:tcW w:w="1872" w:type="dxa"/>
          </w:tcPr>
          <w:p>
            <w:pPr/>
            <w:r>
              <w:t xml:space="preserve">"Volatility Prediction in the Indian Share Market Using Sentiment Analysis" (IEEE ICTCT 2025)</w:t>
            </w:r>
          </w:p>
        </w:tc>
        <w:tc>
          <w:tcPr>
            <w:tcW w:w="1872" w:type="dxa"/>
          </w:tcPr>
          <w:p>
            <w:pPr/>
            <w:r>
              <w:t xml:space="preserve">Five Nifty 50 stocks, 2020 to 2023, FinBERT and NLTK sentiment, LSTM variants, volatility target</w:t>
            </w:r>
          </w:p>
        </w:tc>
        <w:tc>
          <w:tcPr>
            <w:tcW w:w="1872" w:type="dxa"/>
          </w:tcPr>
          <w:p>
            <w:pPr/>
            <w:r>
              <w:t xml:space="preserve">Sentiment-augmented models for volatility</w:t>
            </w:r>
          </w:p>
        </w:tc>
        <w:tc>
          <w:tcPr>
            <w:tcW w:w="1872" w:type="dxa"/>
          </w:tcPr>
          <w:p>
            <w:pPr/>
            <w:r>
              <w:t xml:space="preserve">Five stocks; claim that portfolio Sharpe was invalid is unconfirmed</w:t>
            </w:r>
          </w:p>
        </w:tc>
        <w:tc>
          <w:tcPr>
            <w:tcW w:w="1872" w:type="dxa"/>
          </w:tcPr>
          <w:p>
            <w:pPr/>
            <w:r>
              <w:t xml:space="preserve">V (abstract level)</w:t>
            </w:r>
          </w:p>
        </w:tc>
      </w:tr>
      <w:tr>
        <w:tc>
          <w:tcPr>
            <w:tcW w:w="1872" w:type="dxa"/>
          </w:tcPr>
          <w:p>
            <w:pPr/>
            <w:r>
              <w:t xml:space="preserve">Kotekar et al. (2025), Nifty 50 index</w:t>
            </w:r>
          </w:p>
        </w:tc>
        <w:tc>
          <w:tcPr>
            <w:tcW w:w="1872" w:type="dxa"/>
          </w:tcPr>
          <w:p>
            <w:pPr/>
            <w:r>
              <w:t xml:space="preserve">Index-level next-day return sign; LSTM, GRU, RNN, TKAN</w:t>
            </w:r>
          </w:p>
        </w:tc>
        <w:tc>
          <w:tcPr>
            <w:tcW w:w="1872" w:type="dxa"/>
          </w:tcPr>
          <w:p>
            <w:pPr/>
            <w:r>
              <w:t xml:space="preserve">Polarity plus past return signs improved performance</w:t>
            </w:r>
          </w:p>
        </w:tc>
        <w:tc>
          <w:tcPr>
            <w:tcW w:w="1872" w:type="dxa"/>
          </w:tcPr>
          <w:p>
            <w:pPr/>
            <w:r>
              <w:t xml:space="preserve">Index level, not constituents</w:t>
            </w:r>
          </w:p>
        </w:tc>
        <w:tc>
          <w:tcPr>
            <w:tcW w:w="1872" w:type="dxa"/>
          </w:tcPr>
          <w:p>
            <w:pPr/>
            <w:r>
              <w:t xml:space="preserve">V (abstract level)</w:t>
            </w:r>
          </w:p>
        </w:tc>
      </w:tr>
      <w:tr>
        <w:tc>
          <w:tcPr>
            <w:tcW w:w="1872" w:type="dxa"/>
          </w:tcPr>
          <w:p>
            <w:pPr/>
            <w:r>
              <w:t xml:space="preserve">arXiv 2512.20082 (2025)</w:t>
            </w:r>
          </w:p>
        </w:tc>
        <w:tc>
          <w:tcPr>
            <w:tcW w:w="1872" w:type="dxa"/>
          </w:tcPr>
          <w:p>
            <w:pPr/>
            <w:r>
              <w:t xml:space="preserve">NIFTY 50 headlines 2024 to 2025 with instruction-tuned LLMs</w:t>
            </w:r>
          </w:p>
        </w:tc>
        <w:tc>
          <w:tcPr>
            <w:tcW w:w="1872" w:type="dxa"/>
          </w:tcPr>
          <w:p>
            <w:pPr/>
            <w:r>
              <w:t xml:space="preserve">Improved sentiment classification</w:t>
            </w:r>
          </w:p>
        </w:tc>
        <w:tc>
          <w:tcPr>
            <w:tcW w:w="1872" w:type="dxa"/>
          </w:tcPr>
          <w:p>
            <w:pPr/>
            <w:r>
              <w:t xml:space="preserve">Classification task, not return prediction</w:t>
            </w:r>
          </w:p>
        </w:tc>
        <w:tc>
          <w:tcPr>
            <w:tcW w:w="1872" w:type="dxa"/>
          </w:tcPr>
          <w:p>
            <w:pPr/>
            <w:r>
              <w:t xml:space="preserve">V (abstract level)</w:t>
            </w:r>
          </w:p>
        </w:tc>
      </w:tr>
      <w:tr>
        <w:tc>
          <w:tcPr>
            <w:tcW w:w="1872" w:type="dxa"/>
          </w:tcPr>
          <w:p>
            <w:pPr/>
            <w:r>
              <w:t xml:space="preserve">Balasubramanian et al. (2025)</w:t>
            </w:r>
          </w:p>
        </w:tc>
        <w:tc>
          <w:tcPr>
            <w:tcW w:w="1872" w:type="dxa"/>
          </w:tcPr>
          <w:p>
            <w:pPr/>
            <w:r>
              <w:t xml:space="preserve">FinBERT on long-form news for non-financial Nifty 50 stocks</w:t>
            </w:r>
          </w:p>
        </w:tc>
        <w:tc>
          <w:tcPr>
            <w:tcW w:w="1872" w:type="dxa"/>
          </w:tcPr>
          <w:p>
            <w:pPr/>
            <w:r>
              <w:t xml:space="preserve">Portfolio outperformance</w:t>
            </w:r>
          </w:p>
        </w:tc>
        <w:tc>
          <w:tcPr>
            <w:tcW w:w="1872" w:type="dxa"/>
          </w:tcPr>
          <w:p>
            <w:pPr/>
            <w:r>
              <w:t xml:space="preserve">Stock selection from news alone</w:t>
            </w:r>
          </w:p>
        </w:tc>
        <w:tc>
          <w:tcPr>
            <w:tcW w:w="1872" w:type="dxa"/>
          </w:tcPr>
          <w:p>
            <w:pPr/>
            <w:r>
              <w:t xml:space="preserve">V (abstract level)</w:t>
            </w:r>
          </w:p>
        </w:tc>
      </w:tr>
      <w:tr>
        <w:tc>
          <w:tcPr>
            <w:tcW w:w="1872" w:type="dxa"/>
          </w:tcPr>
          <w:p>
            <w:pPr/>
            <w:r>
              <w:t xml:space="preserve">Ashwath and Singh (2026), IJFMR</w:t>
            </w:r>
          </w:p>
        </w:tc>
        <w:tc>
          <w:tcPr>
            <w:tcW w:w="1872" w:type="dxa"/>
          </w:tcPr>
          <w:p>
            <w:pPr/>
            <w:r>
              <w:t xml:space="preserve">NIFTY 50 news, FinBERT, logistic and ridge regression</w:t>
            </w:r>
          </w:p>
        </w:tc>
        <w:tc>
          <w:tcPr>
            <w:tcW w:w="1872" w:type="dxa"/>
          </w:tcPr>
          <w:p>
            <w:pPr/>
            <w:r>
              <w:t xml:space="preserve">68.5% direction accuracy</w:t>
            </w:r>
          </w:p>
        </w:tc>
        <w:tc>
          <w:tcPr>
            <w:tcW w:w="1872" w:type="dxa"/>
          </w:tcPr>
          <w:p>
            <w:pPr/>
            <w:r>
              <w:t xml:space="preserve">Low-tier venue; single split; survivorship concerns plausible, not confirmed</w:t>
            </w:r>
          </w:p>
        </w:tc>
        <w:tc>
          <w:tcPr>
            <w:tcW w:w="1872" w:type="dxa"/>
          </w:tcPr>
          <w:p>
            <w:pPr/>
            <w:r>
              <w:t xml:space="preserve">U</w:t>
            </w:r>
          </w:p>
        </w:tc>
      </w:tr>
      <w:tr>
        <w:tc>
          <w:tcPr>
            <w:tcW w:w="1872" w:type="dxa"/>
          </w:tcPr>
          <w:p>
            <w:pPr/>
            <w:r>
              <w:t xml:space="preserve">Mehta et al. (2021); Gite et al. (2021)</w:t>
            </w:r>
          </w:p>
        </w:tc>
        <w:tc>
          <w:tcPr>
            <w:tcW w:w="1872" w:type="dxa"/>
          </w:tcPr>
          <w:p>
            <w:pPr/>
            <w:r>
              <w:t xml:space="preserve">Sensex/Infosys and Indian headlines with LSTM models, cited via a review</w:t>
            </w:r>
          </w:p>
        </w:tc>
        <w:tc>
          <w:tcPr>
            <w:tcW w:w="1872" w:type="dxa"/>
          </w:tcPr>
          <w:p>
            <w:pPr/>
            <w:r>
              <w:t xml:space="preserve">92.45% and 93.15%</w:t>
            </w:r>
          </w:p>
        </w:tc>
        <w:tc>
          <w:tcPr>
            <w:tcW w:w="1872" w:type="dxa"/>
          </w:tcPr>
          <w:p>
            <w:pPr/>
            <w:r>
              <w:t xml:space="preserve">Seen only second-hand; implausible levels, mechanism unknown</w:t>
            </w:r>
          </w:p>
        </w:tc>
        <w:tc>
          <w:tcPr>
            <w:tcW w:w="1872" w:type="dxa"/>
          </w:tcPr>
          <w:p>
            <w:pPr/>
            <w:r>
              <w:t xml:space="preserve">U</w:t>
            </w:r>
          </w:p>
        </w:tc>
      </w:tr>
      <w:tr>
        <w:tc>
          <w:tcPr>
            <w:tcW w:w="1872" w:type="dxa"/>
          </w:tcPr>
          <w:p>
            <w:pPr/>
            <w:r>
              <w:t xml:space="preserve">Paramanik and Singhal (2020); Mir (2023)</w:t>
            </w:r>
          </w:p>
        </w:tc>
        <w:tc>
          <w:tcPr>
            <w:tcW w:w="1872" w:type="dxa"/>
          </w:tcPr>
          <w:p>
            <w:pPr/>
            <w:r>
              <w:t xml:space="preserve">Sentiment and Indian market volatility; COVID-period sentiment</w:t>
            </w:r>
          </w:p>
        </w:tc>
        <w:tc>
          <w:tcPr>
            <w:tcW w:w="1872" w:type="dxa"/>
          </w:tcPr>
          <w:p>
            <w:pPr/>
            <w:r>
              <w:t xml:space="preserve">Sentiment matters for variance and crisis regimes</w:t>
            </w:r>
          </w:p>
        </w:tc>
        <w:tc>
          <w:tcPr>
            <w:tcW w:w="1872" w:type="dxa"/>
          </w:tcPr>
          <w:p>
            <w:pPr/>
            <w:r>
              <w:t xml:space="preserve">Method descriptions unconfirmed</w:t>
            </w:r>
          </w:p>
        </w:tc>
        <w:tc>
          <w:tcPr>
            <w:tcW w:w="1872" w:type="dxa"/>
          </w:tcPr>
          <w:p>
            <w:pPr/>
            <w:r>
              <w:t xml:space="preserve">U</w:t>
            </w:r>
          </w:p>
        </w:tc>
      </w:tr>
    </w:tbl>
    <w:p>
      <w:pPr>
        <w:pStyle w:val="Heading3"/>
      </w:pPr>
      <w:r>
        <w:t xml:space="preserve">2.5 Null results and why sentiment often adds little</w:t>
      </w:r>
    </w:p>
    <w:p>
      <w:pPr>
        <w:pStyle w:val="ListParagraph"/>
        <w:numPr>
          <w:ilvl w:val="0"/>
          <w:numId w:val="5"/>
        </w:numPr>
      </w:pPr>
      <w:r>
        <w:t xml:space="preserve">Large caps adjust quickly. Lopez-Lira and Tang find the effect concentrated in smaller stocks. NIFTY 50 constituents are the most liquid names in India, which makes a daily headline edge less likely.</w:t>
      </w:r>
    </w:p>
    <w:p>
      <w:pPr>
        <w:pStyle w:val="ListParagraph"/>
        <w:numPr>
          <w:ilvl w:val="0"/>
          <w:numId w:val="5"/>
        </w:numPr>
      </w:pPr>
      <w:r>
        <w:t xml:space="preserve">Attention matters more than tone. Jeon, McCurdy and Zhao (2022, Journal of Financial Economics) link news arrival to return jumps and volatility; check volume, issue and page numbers before citing (the scan's page range looks wrong). A crude-oil forecasting study using Twitter, Wikipedia and GDELT volume (arXiv 2105.09154, Journal of Information Science) found article counts informative. Status: C and U.</w:t>
      </w:r>
    </w:p>
    <w:p>
      <w:pPr>
        <w:pStyle w:val="ListParagraph"/>
        <w:numPr>
          <w:ilvl w:val="0"/>
          <w:numId w:val="5"/>
        </w:numPr>
      </w:pPr>
      <w:r>
        <w:t xml:space="preserve">Ardia, Bluteau and Boudt (2022, Journal of Financial Markets) find media tone matters mainly around earnings announcements. Status: C.</w:t>
      </w:r>
    </w:p>
    <w:p>
      <w:pPr>
        <w:pStyle w:val="ListParagraph"/>
        <w:numPr>
          <w:ilvl w:val="0"/>
          <w:numId w:val="5"/>
        </w:numPr>
      </w:pPr>
      <w:r>
        <w:t xml:space="preserve">Replication caution: arXiv 2412-era LLM trading results and a 2025 GDELT-FinBERT macro study (arXiv 2505.16136) report very high Sharpe ratios. Very high reported performance is a reason for scrutiny, not evidence of a flaw. Which mechanisms apply cannot be determined from abstracts. Status: U.</w:t>
      </w:r>
    </w:p>
    <w:p>
      <w:pPr>
        <w:pStyle w:val="Heading3"/>
      </w:pPr>
      <w:r>
        <w:t xml:space="preserve">2.6 GDELT in finance</w:t>
      </w:r>
    </w:p>
    <w:p>
      <w:pPr>
        <w:pStyle w:val="ListParagraph"/>
        <w:numPr>
          <w:ilvl w:val="0"/>
          <w:numId w:val="6"/>
        </w:numPr>
      </w:pPr>
      <w:r>
        <w:t xml:space="preserve">GDELT GKG provides themes, locations, V2Tone and GCAM measures across many languages in 15-minute batches. Standard GKG records carry URLs and tone, not article text; titles may be recoverable from the Extras field (verify on a sample day).</w:t>
      </w:r>
    </w:p>
    <w:p>
      <w:pPr>
        <w:pStyle w:val="ListParagraph"/>
        <w:numPr>
          <w:ilvl w:val="0"/>
          <w:numId w:val="6"/>
        </w:numPr>
      </w:pPr>
      <w:r>
        <w:t xml:space="preserve">A 2025 audit of GDELT coverage (MDPI Data, 10(10), 158) and a 2026 full-text reconstruction paper (Big Data and Cognitive Computing, arXiv 2504.16063) describe coverage and the text gap. Status: U.</w:t>
      </w:r>
    </w:p>
    <w:p>
      <w:pPr>
        <w:pStyle w:val="ListParagraph"/>
        <w:numPr>
          <w:ilvl w:val="0"/>
          <w:numId w:val="6"/>
        </w:numPr>
      </w:pPr>
      <w:r>
        <w:t xml:space="preserve">Alamro et al. (2019) used GDELT tone and volume for Saudi index forecasting and caution that extra features can add estimation noise. Status: U.</w:t>
      </w:r>
    </w:p>
    <w:p>
      <w:pPr>
        <w:pStyle w:val="Heading2"/>
      </w:pPr>
      <w:r>
        <w:t xml:space="preserve">3. Methodological state of the art</w:t>
      </w:r>
    </w:p>
    <w:p>
      <w:pPr>
        <w:pStyle w:val="Heading3"/>
      </w:pPr>
      <w:r>
        <w:t xml:space="preserve">3.1 Validation</w:t>
      </w:r>
    </w:p>
    <w:p>
      <w:pPr>
        <w:pStyle w:val="ListParagraph"/>
        <w:numPr>
          <w:ilvl w:val="0"/>
          <w:numId w:val="7"/>
        </w:numPr>
      </w:pPr>
      <w:r>
        <w:t xml:space="preserve">Random k-fold cross-validation is invalid for overlapping, autocorrelated financial features.</w:t>
      </w:r>
    </w:p>
    <w:p>
      <w:pPr>
        <w:pStyle w:val="ListParagraph"/>
        <w:numPr>
          <w:ilvl w:val="0"/>
          <w:numId w:val="7"/>
        </w:numPr>
      </w:pPr>
      <w:r>
        <w:t xml:space="preserve">Purged and embargoed cross-validation (Lopez de Prado, 2018) and walk-forward validation are the accepted alternatives. Walk-forward never trains on the future and matches live retraining; add an embargo of at least one session when labels look one day ahead.</w:t>
      </w:r>
    </w:p>
    <w:p>
      <w:pPr>
        <w:pStyle w:val="ListParagraph"/>
        <w:numPr>
          <w:ilvl w:val="0"/>
          <w:numId w:val="7"/>
        </w:numPr>
      </w:pPr>
      <w:r>
        <w:t xml:space="preserve">Fit scalers, encoders and vocabularies inside each training fold only.</w:t>
      </w:r>
    </w:p>
    <w:p>
      <w:pPr>
        <w:pStyle w:val="Heading3"/>
      </w:pPr>
      <w:r>
        <w:t xml:space="preserve">3.2 Cross-sectional dependence and inference</w:t>
      </w:r>
    </w:p>
    <w:p>
      <w:pPr>
        <w:pStyle w:val="ListParagraph"/>
        <w:numPr>
          <w:ilvl w:val="0"/>
          <w:numId w:val="8"/>
        </w:numPr>
      </w:pPr>
      <w:r>
        <w:t xml:space="preserve">In a pooled panel of about 50 stocks over about 1,400 days, errors share a common date effect (Petersen, 2009, Review of Financial Studies). Treating 70,000 stock-days as independent gives standard errors far too small.</w:t>
      </w:r>
    </w:p>
    <w:p>
      <w:pPr>
        <w:pStyle w:val="ListParagraph"/>
        <w:numPr>
          <w:ilvl w:val="0"/>
          <w:numId w:val="8"/>
        </w:numPr>
      </w:pPr>
      <w:r>
        <w:t xml:space="preserve">Valid inference collapses predictions to one observation per date (for example, daily cross-sectional accuracy), computes paired model differences by date, and uses a block bootstrap over dates (Politis and Romano, 1994). With about 1,400 test dates, a 95% interval of roughly plus or minus 1 to 1.3 points on accuracy differences is what the arithmetic predicts, so the FinFusionNet interval is consistent with the design, not a surprise.</w:t>
      </w:r>
    </w:p>
    <w:p>
      <w:pPr>
        <w:pStyle w:val="Heading3"/>
      </w:pPr>
      <w:r>
        <w:t xml:space="preserve">3.3 Targets and multiple testing</w:t>
      </w:r>
    </w:p>
    <w:p>
      <w:pPr>
        <w:pStyle w:val="ListParagraph"/>
        <w:numPr>
          <w:ilvl w:val="0"/>
          <w:numId w:val="9"/>
        </w:numPr>
      </w:pPr>
      <w:r>
        <w:t xml:space="preserve">Raw next-day direction is dominated by the market factor. An excess-return target (stock minus NIFTY) removes it and is the fair test for stock-specific news.</w:t>
      </w:r>
    </w:p>
    <w:p>
      <w:pPr>
        <w:pStyle w:val="ListParagraph"/>
        <w:numPr>
          <w:ilvl w:val="0"/>
          <w:numId w:val="9"/>
        </w:numPr>
      </w:pPr>
      <w:r>
        <w:t xml:space="preserve">Many model, feature and target combinations inflate false positives. Use Holm or similar correction, pre-register one primary hypothesis, and consider the Deflated Sharpe Ratio (Bailey and Lopez de Prado, 2014) and the probability of backtest overfitting (Bailey, Borwein, Lopez de Prado and Zhu, 2016). Harvey, Liu and Zhu (2016) argue for a higher t-statistic hurdle (about 3) for new factors.</w:t>
      </w:r>
    </w:p>
    <w:p>
      <w:pPr>
        <w:pStyle w:val="Heading3"/>
      </w:pPr>
      <w:r>
        <w:t xml:space="preserve">3.4 Economic significance (corrected)</w:t>
      </w:r>
    </w:p>
    <w:p>
      <w:pPr/>
      <w:r>
        <w:t xml:space="preserve">The scan stated that a 1.0 to 1.5 point accuracy edge covers Indian trading costs. That is wrong by a large factor.</w:t>
      </w:r>
    </w:p>
    <w:p>
      <w:pPr>
        <w:pStyle w:val="ListParagraph"/>
        <w:numPr>
          <w:ilvl w:val="0"/>
          <w:numId w:val="10"/>
        </w:numPr>
      </w:pPr>
      <w:r>
        <w:t xml:space="preserve">Rough break-even accuracy for a strategy that trades every day, assuming symmetric payoffs: p* = 0.5 + c / (2 x E|r|), where c is round-trip cost and E|r| is mean absolute daily return.</w:t>
      </w:r>
    </w:p>
    <w:p>
      <w:pPr>
        <w:pStyle w:val="ListParagraph"/>
        <w:numPr>
          <w:ilvl w:val="0"/>
          <w:numId w:val="10"/>
        </w:numPr>
      </w:pPr>
      <w:r>
        <w:t xml:space="preserve">With E|r| = 1.1%: c = 8 bps gives about 53.6%; c = 25 bps gives about 61.4%.</w:t>
      </w:r>
    </w:p>
    <w:p>
      <w:pPr>
        <w:pStyle w:val="ListParagraph"/>
        <w:numPr>
          <w:ilvl w:val="0"/>
          <w:numId w:val="10"/>
        </w:numPr>
      </w:pPr>
      <w:r>
        <w:t xml:space="preserve">So the edge needed is roughly 3.6 to 11 points above 50%. A sentiment effect bounded within about plus or minus 1 point therefore has no economic value at daily frequency. Statutory charges (STT, stamp duty, exchange and SEBI fees, GST) and spreads should be itemized from current exchange schedules before stating a cost figure in the thesis.</w:t>
      </w:r>
    </w:p>
    <w:p>
      <w:pPr>
        <w:pStyle w:val="Heading2"/>
      </w:pPr>
      <w:r>
        <w:t xml:space="preserve">4. Current conditions (as of October 2026)</w:t>
      </w:r>
    </w:p>
    <w:p>
      <w:pPr>
        <w:pStyle w:val="Heading3"/>
      </w:pPr>
      <w:r>
        <w:t xml:space="preserve">4.1 Market structure and regulation</w:t>
      </w:r>
    </w:p>
    <w:p>
      <w:pPr>
        <w:pStyle w:val="ListParagraph"/>
        <w:numPr>
          <w:ilvl w:val="0"/>
          <w:numId w:val="11"/>
        </w:numPr>
      </w:pPr>
      <w:r>
        <w:t xml:space="preserve">Settlement moved to T+1 in January 2023; optional same-day settlement was introduced later. Status: C.</w:t>
      </w:r>
    </w:p>
    <w:p>
      <w:pPr>
        <w:pStyle w:val="ListParagraph"/>
        <w:numPr>
          <w:ilvl w:val="0"/>
          <w:numId w:val="11"/>
        </w:numPr>
      </w:pPr>
      <w:r>
        <w:t xml:space="preserve">SEBI's October 2024 measures on equity index derivatives (single weekly expiry per exchange, larger contracts, upfront premium collection, expiry-day margin changes) altered index-derivatives flows from late 2024. Status: C; confirm the circular text.</w:t>
      </w:r>
    </w:p>
    <w:p>
      <w:pPr>
        <w:pStyle w:val="ListParagraph"/>
        <w:numPr>
          <w:ilvl w:val="0"/>
          <w:numId w:val="11"/>
        </w:numPr>
      </w:pPr>
      <w:r>
        <w:t xml:space="preserve">SEBI's February 2025 circular on retail participation in algorithmic trading set up broker-led responsibility, authentication and registration requirements, with implementation dates that were revised. Confirm current status on sebi.gov.in. Interpretations that research models need registration come from a law blog and should not be relied on for a research thesis.</w:t>
      </w:r>
    </w:p>
    <w:p>
      <w:pPr>
        <w:pStyle w:val="ListParagraph"/>
        <w:numPr>
          <w:ilvl w:val="0"/>
          <w:numId w:val="11"/>
        </w:numPr>
      </w:pPr>
      <w:r>
        <w:t xml:space="preserve">NIFTY 50 is rebalanced semi-annually with effect from the end of March and September, using review periods ending in January and July. Status: C.</w:t>
      </w:r>
    </w:p>
    <w:p>
      <w:pPr>
        <w:pStyle w:val="ListParagraph"/>
        <w:numPr>
          <w:ilvl w:val="0"/>
          <w:numId w:val="11"/>
        </w:numPr>
      </w:pPr>
      <w:r>
        <w:t xml:space="preserve">Regime markers to discuss: the 2022 rate-hike drawdown, the early-2023 Adani episode, the June 2024 election-day fall, and 2025 tariff shocks.</w:t>
      </w:r>
    </w:p>
    <w:p>
      <w:pPr>
        <w:pStyle w:val="Heading3"/>
      </w:pPr>
      <w:r>
        <w:t xml:space="preserve">4.2 Price and corporate-action data</w:t>
      </w:r>
    </w:p>
    <w:p>
      <w:pPr>
        <w:pStyle w:val="ListParagraph"/>
        <w:numPr>
          <w:ilvl w:val="0"/>
          <w:numId w:val="12"/>
        </w:numPr>
      </w:pPr>
      <w:r>
        <w:t xml:space="preserve">yfinance is an unofficial scraper. Treat it as acceptable for a student thesis but spot-check against NSE bhavcopy for a sample of tickers, especially around corporate actions.</w:t>
      </w:r>
    </w:p>
    <w:p>
      <w:pPr>
        <w:pStyle w:val="ListParagraph"/>
        <w:numPr>
          <w:ilvl w:val="0"/>
          <w:numId w:val="12"/>
        </w:numPr>
      </w:pPr>
      <w:r>
        <w:t xml:space="preserve">NSE and BSE moved bhavcopy to the UDiFF format in 2024. Details of the cutover and file quirks come from a single technical blog and need checking. Status: U.</w:t>
      </w:r>
    </w:p>
    <w:p>
      <w:pPr>
        <w:pStyle w:val="ListParagraph"/>
        <w:numPr>
          <w:ilvl w:val="0"/>
          <w:numId w:val="12"/>
        </w:numPr>
      </w:pPr>
      <w:r>
        <w:t xml:space="preserve">Tata Motors demerger (verified): record date 14 October 2025, 1:1 entitlement to the commercial-vehicles company, a special pre-open session on 14 October, existing F&amp;O contracts expiring on 13 October, price discovery at about Rs 400 for TMPV and Rs 261 for the commercial-vehicles entity, with commercial-vehicles listing on 12 November 2025. Unadjusted series show a spurious drop of roughly 40% on 14 October. The scan's worked example (Rs 950 split into Rs 570 and Rs 380) is wrong.</w:t>
      </w:r>
    </w:p>
    <w:p>
      <w:pPr>
        <w:pStyle w:val="ListParagraph"/>
        <w:numPr>
          <w:ilvl w:val="0"/>
          <w:numId w:val="12"/>
        </w:numPr>
      </w:pPr>
      <w:r>
        <w:t xml:space="preserve">Zomato renamed Eternal in 2025 (ticker change reported around April 2025, ISIN unchanged). The consumer brand remains Zomato, so entity matching must carry both names and treat plain "Eternal" as ambiguous. Status: C; confirm dates.</w:t>
      </w:r>
    </w:p>
    <w:p>
      <w:pPr>
        <w:pStyle w:val="ListParagraph"/>
        <w:numPr>
          <w:ilvl w:val="0"/>
          <w:numId w:val="12"/>
        </w:numPr>
      </w:pPr>
      <w:r>
        <w:t xml:space="preserve">Other events to handle: HDFC Ltd merger into HDFC Bank (July 2023), Jio Financial demerger (July 2023), L&amp;T Infotech and Mindtree merger into LTIMindtree (late 2022). Status: C.</w:t>
      </w:r>
    </w:p>
    <w:p>
      <w:pPr>
        <w:pStyle w:val="Heading3"/>
      </w:pPr>
      <w:r>
        <w:t xml:space="preserve">4.3 News data</w:t>
      </w:r>
    </w:p>
    <w:p>
      <w:pPr>
        <w:pStyle w:val="ListParagraph"/>
        <w:numPr>
          <w:ilvl w:val="0"/>
          <w:numId w:val="13"/>
        </w:numPr>
      </w:pPr>
      <w:r>
        <w:t xml:space="preserve">GDELT covers a large share of Indian outlets, but source sets drift over time, syndicated copies inflate counts, and paywall or URL changes create artificial coverage swings. A fixed domain whitelist and a news-availability control address this.</w:t>
      </w:r>
    </w:p>
    <w:p>
      <w:pPr>
        <w:pStyle w:val="ListParagraph"/>
        <w:numPr>
          <w:ilvl w:val="0"/>
          <w:numId w:val="13"/>
        </w:numPr>
      </w:pPr>
      <w:r>
        <w:t xml:space="preserve">EOD Historical Data is the planned per-ticker fallback; check its Indian-ticker coverage and licensing before relying on it.</w:t>
      </w:r>
    </w:p>
    <w:p>
      <w:pPr>
        <w:pStyle w:val="Heading3"/>
      </w:pPr>
      <w:r>
        <w:t xml:space="preserve">4.4 Sentiment-model landscape</w:t>
      </w:r>
    </w:p>
    <w:p>
      <w:pPr>
        <w:pStyle w:val="ListParagraph"/>
        <w:numPr>
          <w:ilvl w:val="0"/>
          <w:numId w:val="14"/>
        </w:numPr>
      </w:pPr>
      <w:r>
        <w:t xml:space="preserve">FinBERT variants remain the standard baselines; LLM scorers are the frontier for return prediction.</w:t>
      </w:r>
    </w:p>
    <w:p>
      <w:pPr>
        <w:pStyle w:val="ListParagraph"/>
        <w:numPr>
          <w:ilvl w:val="0"/>
          <w:numId w:val="14"/>
        </w:numPr>
      </w:pPr>
      <w:r>
        <w:t xml:space="preserve">Practical traps: ProsusAI/finbert and finbert-tone order their output labels differently, so always read the label map from the model config. The ProsusAI checkpoint was already fine-tuned on Financial PhraseBank, so benchmark scores on that dataset are not zero-shot. Neither model was built for Indian terms (crore, lakh, FII/DII). A tone classifier does not model expectations: a profit decline can be good news if a larger decline was expected. Headlines naming several companies receive one blended score.</w:t>
      </w:r>
    </w:p>
    <w:p>
      <w:pPr>
        <w:pStyle w:val="Heading2"/>
      </w:pPr>
      <w:r>
        <w:t xml:space="preserve">5. Gap analysis</w:t>
      </w:r>
    </w:p>
    <w:p>
      <w:pPr/>
      <w:r>
        <w:t xml:space="preserve">Within the sources reviewed, FinFusionNet's distinguishing features are the combination of: point-in-time NIFTY 50 membership; pooled evaluation with date-clustered block-bootstrap inference; an explicit news-availability control; walk-forward validation under two protocols; and a market-neutral secondary target. This is a combination claim, not a first-ever claim. A broader manual search is needed (Journal of Emerging Market Finance, Vikalpa, Indian working papers) before stating that no comparable Indian study exists.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Comparator</w:t>
            </w:r>
          </w:p>
        </w:tc>
        <w:tc>
          <w:tcPr>
            <w:tcW w:w="3120" w:type="dxa"/>
            <w:shd w:val="clear" w:color="auto" w:fill="F2F2F2"/>
          </w:tcPr>
          <w:p>
            <w:pPr/>
            <w:r>
              <w:t xml:space="preserve">Market</w:t>
            </w:r>
          </w:p>
        </w:tc>
        <w:tc>
          <w:tcPr>
            <w:tcW w:w="3120" w:type="dxa"/>
            <w:shd w:val="clear" w:color="auto" w:fill="F2F2F2"/>
          </w:tcPr>
          <w:p>
            <w:pPr/>
            <w:r>
              <w:t xml:space="preserve">Difference from FinFusionNet</w:t>
            </w:r>
          </w:p>
        </w:tc>
      </w:tr>
      <w:tr>
        <w:tc>
          <w:tcPr>
            <w:tcW w:w="3120" w:type="dxa"/>
          </w:tcPr>
          <w:p>
            <w:pPr/>
            <w:r>
              <w:t xml:space="preserve">Ashwath and Singh (2026)</w:t>
            </w:r>
          </w:p>
        </w:tc>
        <w:tc>
          <w:tcPr>
            <w:tcW w:w="3120" w:type="dxa"/>
          </w:tcPr>
          <w:p>
            <w:pPr/>
            <w:r>
              <w:t xml:space="preserve">NIFTY 50</w:t>
            </w:r>
          </w:p>
        </w:tc>
        <w:tc>
          <w:tcPr>
            <w:tcW w:w="3120" w:type="dxa"/>
          </w:tcPr>
          <w:p>
            <w:pPr/>
            <w:r>
              <w:t xml:space="preserve">Single split, no availability control, unclear universe and inference (reported claims, venue is low-tier)</w:t>
            </w:r>
          </w:p>
        </w:tc>
      </w:tr>
      <w:tr>
        <w:tc>
          <w:tcPr>
            <w:tcW w:w="3120" w:type="dxa"/>
          </w:tcPr>
          <w:p>
            <w:pPr/>
            <w:r>
              <w:t xml:space="preserve">ICTCT 2025 volatility study</w:t>
            </w:r>
          </w:p>
        </w:tc>
        <w:tc>
          <w:tcPr>
            <w:tcW w:w="3120" w:type="dxa"/>
          </w:tcPr>
          <w:p>
            <w:pPr/>
            <w:r>
              <w:t xml:space="preserve">Five Nifty 50 stocks</w:t>
            </w:r>
          </w:p>
        </w:tc>
        <w:tc>
          <w:tcPr>
            <w:tcW w:w="3120" w:type="dxa"/>
          </w:tcPr>
          <w:p>
            <w:pPr/>
            <w:r>
              <w:t xml:space="preserve">Five stocks, volatility target, no pooled date-clustered test</w:t>
            </w:r>
          </w:p>
        </w:tc>
      </w:tr>
      <w:tr>
        <w:tc>
          <w:tcPr>
            <w:tcW w:w="3120" w:type="dxa"/>
          </w:tcPr>
          <w:p>
            <w:pPr/>
            <w:r>
              <w:t xml:space="preserve">Lopez-Lira and Tang</w:t>
            </w:r>
          </w:p>
        </w:tc>
        <w:tc>
          <w:tcPr>
            <w:tcW w:w="3120" w:type="dxa"/>
          </w:tcPr>
          <w:p>
            <w:pPr/>
            <w:r>
              <w:t xml:space="preserve">US, all CRSP stocks</w:t>
            </w:r>
          </w:p>
        </w:tc>
        <w:tc>
          <w:tcPr>
            <w:tcW w:w="3120" w:type="dxa"/>
          </w:tcPr>
          <w:p>
            <w:pPr/>
            <w:r>
              <w:t xml:space="preserve">Strong inference and out-of-sample design, but LLM scores and US news</w:t>
            </w:r>
          </w:p>
        </w:tc>
      </w:tr>
      <w:tr>
        <w:tc>
          <w:tcPr>
            <w:tcW w:w="3120" w:type="dxa"/>
          </w:tcPr>
          <w:p>
            <w:pPr/>
            <w:r>
              <w:t xml:space="preserve">2025 GDELT-FinBERT macro study</w:t>
            </w:r>
          </w:p>
        </w:tc>
        <w:tc>
          <w:tcPr>
            <w:tcW w:w="3120" w:type="dxa"/>
          </w:tcPr>
          <w:p>
            <w:pPr/>
            <w:r>
              <w:t xml:space="preserve">FX and Treasuries</w:t>
            </w:r>
          </w:p>
        </w:tc>
        <w:tc>
          <w:tcPr>
            <w:tcW w:w="3120" w:type="dxa"/>
          </w:tcPr>
          <w:p>
            <w:pPr/>
            <w:r>
              <w:t xml:space="preserve">Same data stack, different asset class; reported performance is implausibly high</w:t>
            </w:r>
          </w:p>
        </w:tc>
      </w:tr>
      <w:tr>
        <w:tc>
          <w:tcPr>
            <w:tcW w:w="3120" w:type="dxa"/>
          </w:tcPr>
          <w:p>
            <w:pPr/>
            <w:r>
              <w:t xml:space="preserve">StockNet-line fusion models</w:t>
            </w:r>
          </w:p>
        </w:tc>
        <w:tc>
          <w:tcPr>
            <w:tcW w:w="3120" w:type="dxa"/>
          </w:tcPr>
          <w:p>
            <w:pPr/>
            <w:r>
              <w:t xml:space="preserve">88 US stocks</w:t>
            </w:r>
          </w:p>
        </w:tc>
        <w:tc>
          <w:tcPr>
            <w:tcW w:w="3120" w:type="dxa"/>
          </w:tcPr>
          <w:p>
            <w:pPr/>
            <w:r>
              <w:t xml:space="preserve">Architecture-focused, fixed benchmark, no point-in-time universe</w:t>
            </w:r>
          </w:p>
        </w:tc>
      </w:tr>
    </w:tbl>
    <w:p>
      <w:pPr>
        <w:pStyle w:val="Heading2"/>
      </w:pPr>
      <w:r>
        <w:t xml:space="preserve">6. Implausible claims</w:t>
      </w:r>
    </w:p>
    <w:p>
      <w:pPr/>
      <w:r>
        <w:t xml:space="preserve">Treat any report of more than 70% daily accuracy or Sharpe above 4 on liquid assets as a prompt for scrutiny: single splits, full-sample scaling, smoothed targets, unpurged folds, calendar-day news bucketing, survivorship bias and timezone misalignment are all known failure modes. Whether any specific paper suffers from a specific one cannot be established from its abstract. In the thesis, write "reported accuracy is implausibly high and the evaluation details are insufficient to rule out leakage" rather than naming a mechanism.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Claim</w:t>
            </w:r>
          </w:p>
        </w:tc>
        <w:tc>
          <w:tcPr>
            <w:tcW w:w="3120" w:type="dxa"/>
            <w:shd w:val="clear" w:color="auto" w:fill="F2F2F2"/>
          </w:tcPr>
          <w:p>
            <w:pPr/>
            <w:r>
              <w:t xml:space="preserve">Source</w:t>
            </w:r>
          </w:p>
        </w:tc>
        <w:tc>
          <w:tcPr>
            <w:tcW w:w="3120" w:type="dxa"/>
            <w:shd w:val="clear" w:color="auto" w:fill="F2F2F2"/>
          </w:tcPr>
          <w:p>
            <w:pPr/>
            <w:r>
              <w:t xml:space="preserve">Status</w:t>
            </w:r>
          </w:p>
        </w:tc>
      </w:tr>
      <w:tr>
        <w:tc>
          <w:tcPr>
            <w:tcW w:w="3120" w:type="dxa"/>
          </w:tcPr>
          <w:p>
            <w:pPr/>
            <w:r>
              <w:t xml:space="preserve">92.45% accuracy, Sensex/Infosys</w:t>
            </w:r>
          </w:p>
        </w:tc>
        <w:tc>
          <w:tcPr>
            <w:tcW w:w="3120" w:type="dxa"/>
          </w:tcPr>
          <w:p>
            <w:pPr/>
            <w:r>
              <w:t xml:space="preserve">Mehta et al. (2021), via a review</w:t>
            </w:r>
          </w:p>
        </w:tc>
        <w:tc>
          <w:tcPr>
            <w:tcW w:w="3120" w:type="dxa"/>
          </w:tcPr>
          <w:p>
            <w:pPr/>
            <w:r>
              <w:t xml:space="preserve">U</w:t>
            </w:r>
          </w:p>
        </w:tc>
      </w:tr>
      <w:tr>
        <w:tc>
          <w:tcPr>
            <w:tcW w:w="3120" w:type="dxa"/>
          </w:tcPr>
          <w:p>
            <w:pPr/>
            <w:r>
              <w:t xml:space="preserve">93.15% accuracy</w:t>
            </w:r>
          </w:p>
        </w:tc>
        <w:tc>
          <w:tcPr>
            <w:tcW w:w="3120" w:type="dxa"/>
          </w:tcPr>
          <w:p>
            <w:pPr/>
            <w:r>
              <w:t xml:space="preserve">Gite et al. (2021), via a review</w:t>
            </w:r>
          </w:p>
        </w:tc>
        <w:tc>
          <w:tcPr>
            <w:tcW w:w="3120" w:type="dxa"/>
          </w:tcPr>
          <w:p>
            <w:pPr/>
            <w:r>
              <w:t xml:space="preserve">U</w:t>
            </w:r>
          </w:p>
        </w:tc>
      </w:tr>
      <w:tr>
        <w:tc>
          <w:tcPr>
            <w:tcW w:w="3120" w:type="dxa"/>
          </w:tcPr>
          <w:p>
            <w:pPr/>
            <w:r>
              <w:t xml:space="preserve">68.5% direction accuracy, NIFTY 50</w:t>
            </w:r>
          </w:p>
        </w:tc>
        <w:tc>
          <w:tcPr>
            <w:tcW w:w="3120" w:type="dxa"/>
          </w:tcPr>
          <w:p>
            <w:pPr/>
            <w:r>
              <w:t xml:space="preserve">Ashwath and Singh (2026)</w:t>
            </w:r>
          </w:p>
        </w:tc>
        <w:tc>
          <w:tcPr>
            <w:tcW w:w="3120" w:type="dxa"/>
          </w:tcPr>
          <w:p>
            <w:pPr/>
            <w:r>
              <w:t xml:space="preserve">U</w:t>
            </w:r>
          </w:p>
        </w:tc>
      </w:tr>
      <w:tr>
        <w:tc>
          <w:tcPr>
            <w:tcW w:w="3120" w:type="dxa"/>
          </w:tcPr>
          <w:p>
            <w:pPr/>
            <w:r>
              <w:t xml:space="preserve">Sharpe 4.65 to 5.87 on FX and Treasuries</w:t>
            </w:r>
          </w:p>
        </w:tc>
        <w:tc>
          <w:tcPr>
            <w:tcW w:w="3120" w:type="dxa"/>
          </w:tcPr>
          <w:p>
            <w:pPr/>
            <w:r>
              <w:t xml:space="preserve">arXiv 2505.16136</w:t>
            </w:r>
          </w:p>
        </w:tc>
        <w:tc>
          <w:tcPr>
            <w:tcW w:w="3120" w:type="dxa"/>
          </w:tcPr>
          <w:p>
            <w:pPr/>
            <w:r>
              <w:t xml:space="preserve">U</w:t>
            </w:r>
          </w:p>
        </w:tc>
      </w:tr>
      <w:tr>
        <w:tc>
          <w:tcPr>
            <w:tcW w:w="3120" w:type="dxa"/>
          </w:tcPr>
          <w:p>
            <w:pPr/>
            <w:r>
              <w:t xml:space="preserve">89.8% and 77.62% accuracy</w:t>
            </w:r>
          </w:p>
        </w:tc>
        <w:tc>
          <w:tcPr>
            <w:tcW w:w="3120" w:type="dxa"/>
          </w:tcPr>
          <w:p>
            <w:pPr/>
            <w:r>
              <w:t xml:space="preserve">Studies cited in a low-tier review</w:t>
            </w:r>
          </w:p>
        </w:tc>
        <w:tc>
          <w:tcPr>
            <w:tcW w:w="3120" w:type="dxa"/>
          </w:tcPr>
          <w:p>
            <w:pPr/>
            <w:r>
              <w:t xml:space="preserve">U</w:t>
            </w:r>
          </w:p>
        </w:tc>
      </w:tr>
    </w:tbl>
    <w:p>
      <w:pPr>
        <w:pStyle w:val="Heading2"/>
      </w:pPr>
      <w:r>
        <w:t xml:space="preserve">7. Implications for FinFusionNet</w:t>
      </w:r>
    </w:p>
    <w:p>
      <w:pPr>
        <w:pStyle w:val="ListParagraph"/>
        <w:numPr>
          <w:ilvl w:val="0"/>
          <w:numId w:val="15"/>
        </w:numPr>
      </w:pPr>
      <w:r>
        <w:rPr>
          <w:b/>
        </w:rPr>
        <w:t xml:space="preserve">Scope the claim.</w:t>
      </w:r>
      <w:r>
        <w:t xml:space="preserve"> Prior evidence says BERT-class scores fail to predict returns while GPT-4-class scores succeed in the US. A null for FinBERT and VADER is therefore partly expected. State the result as "no detectable incremental value of daily FinBERT/VADER headline scores". A small LLM-scored subset (for example, high-attention days) would test whether scorer strength is the limiting factor.</w:t>
      </w:r>
    </w:p>
    <w:p>
      <w:pPr>
        <w:pStyle w:val="ListParagraph"/>
        <w:numPr>
          <w:ilvl w:val="0"/>
          <w:numId w:val="15"/>
        </w:numPr>
      </w:pPr>
      <w:r>
        <w:rPr>
          <w:b/>
        </w:rPr>
        <w:t xml:space="preserve">Volatility target.</w:t>
      </w:r>
      <w:r>
        <w:t xml:space="preserve"> News arrival is linked to volatility and jumps. Test whether </w:t>
      </w:r>
      <w:r>
        <w:rPr>
          <w:rStyle w:val="CodeChar"/>
        </w:rPr>
        <w:t xml:space="preserve">n_articles</w:t>
      </w:r>
      <w:r>
        <w:t xml:space="preserve"> and </w:t>
      </w:r>
      <w:r>
        <w:rPr>
          <w:rStyle w:val="CodeChar"/>
        </w:rPr>
        <w:t xml:space="preserve">has_news</w:t>
      </w:r>
      <w:r>
        <w:t xml:space="preserve"> predict next-day absolute return or realized volatility.</w:t>
      </w:r>
    </w:p>
    <w:p>
      <w:pPr>
        <w:pStyle w:val="ListParagraph"/>
        <w:numPr>
          <w:ilvl w:val="0"/>
          <w:numId w:val="15"/>
        </w:numPr>
      </w:pPr>
      <w:r>
        <w:rPr>
          <w:b/>
        </w:rPr>
        <w:t xml:space="preserve">Relative target.</w:t>
      </w:r>
      <w:r>
        <w:t xml:space="preserve"> Run the excess-return target before concluding that stock-specific news has no value.</w:t>
      </w:r>
    </w:p>
    <w:p>
      <w:pPr>
        <w:pStyle w:val="ListParagraph"/>
        <w:numPr>
          <w:ilvl w:val="0"/>
          <w:numId w:val="15"/>
        </w:numPr>
      </w:pPr>
      <w:r>
        <w:rPr>
          <w:b/>
        </w:rPr>
        <w:t xml:space="preserve">Coverage evidence.</w:t>
      </w:r>
      <w:r>
        <w:t xml:space="preserve"> Report news coverage by year and sector, and the effect size the interval rules out.</w:t>
      </w:r>
    </w:p>
    <w:p>
      <w:pPr>
        <w:pStyle w:val="ListParagraph"/>
        <w:numPr>
          <w:ilvl w:val="0"/>
          <w:numId w:val="15"/>
        </w:numPr>
      </w:pPr>
      <w:r>
        <w:rPr>
          <w:b/>
        </w:rPr>
        <w:t xml:space="preserve">Data fixes.</w:t>
      </w:r>
      <w:r>
        <w:t xml:space="preserve"> Check price series around 14 October 2025, keep "Zomato" as a valid alias after the rename, and spot-check yfinance against bhavcopy.</w:t>
      </w:r>
    </w:p>
    <w:p>
      <w:pPr>
        <w:pStyle w:val="Heading2"/>
      </w:pPr>
      <w:r>
        <w:t xml:space="preserve">8. Priority reading list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Work</w:t>
            </w:r>
          </w:p>
        </w:tc>
        <w:tc>
          <w:tcPr>
            <w:tcW w:w="2340" w:type="dxa"/>
            <w:shd w:val="clear" w:color="auto" w:fill="F2F2F2"/>
          </w:tcPr>
          <w:p>
            <w:pPr/>
            <w:r>
              <w:t xml:space="preserve">Why it matters</w:t>
            </w:r>
          </w:p>
        </w:tc>
        <w:tc>
          <w:tcPr>
            <w:tcW w:w="2340" w:type="dxa"/>
            <w:shd w:val="clear" w:color="auto" w:fill="F2F2F2"/>
          </w:tcPr>
          <w:p>
            <w:pPr/>
            <w:r>
              <w:t xml:space="preserve">Status</w:t>
            </w:r>
          </w:p>
        </w:tc>
      </w:tr>
      <w:tr>
        <w:tc>
          <w:tcPr>
            <w:tcW w:w="2340" w:type="dxa"/>
          </w:tcPr>
          <w:p>
            <w:pPr/>
            <w:r>
              <w:t xml:space="preserve">1</w:t>
            </w:r>
          </w:p>
        </w:tc>
        <w:tc>
          <w:tcPr>
            <w:tcW w:w="2340" w:type="dxa"/>
          </w:tcPr>
          <w:p>
            <w:pPr/>
            <w:r>
              <w:t xml:space="preserve">Petersen (2009), Review of Financial Studies 22(1)</w:t>
            </w:r>
          </w:p>
        </w:tc>
        <w:tc>
          <w:tcPr>
            <w:tcW w:w="2340" w:type="dxa"/>
          </w:tcPr>
          <w:p>
            <w:pPr/>
            <w:r>
              <w:t xml:space="preserve">Clustered standard errors in panels</w:t>
            </w:r>
          </w:p>
        </w:tc>
        <w:tc>
          <w:tcPr>
            <w:tcW w:w="2340" w:type="dxa"/>
          </w:tcPr>
          <w:p>
            <w:pPr/>
            <w:r>
              <w:t xml:space="preserve">C</w:t>
            </w:r>
          </w:p>
        </w:tc>
      </w:tr>
      <w:tr>
        <w:tc>
          <w:tcPr>
            <w:tcW w:w="2340" w:type="dxa"/>
          </w:tcPr>
          <w:p>
            <w:pPr/>
            <w:r>
              <w:t xml:space="preserve">2</w:t>
            </w:r>
          </w:p>
        </w:tc>
        <w:tc>
          <w:tcPr>
            <w:tcW w:w="2340" w:type="dxa"/>
          </w:tcPr>
          <w:p>
            <w:pPr/>
            <w:r>
              <w:t xml:space="preserve">Lopez-Lira and Tang, arXiv 2304.07619</w:t>
            </w:r>
          </w:p>
        </w:tc>
        <w:tc>
          <w:tcPr>
            <w:tcW w:w="2340" w:type="dxa"/>
          </w:tcPr>
          <w:p>
            <w:pPr/>
            <w:r>
              <w:t xml:space="preserve">LLM versus BERT return predictability; size and decay effects</w:t>
            </w:r>
          </w:p>
        </w:tc>
        <w:tc>
          <w:tcPr>
            <w:tcW w:w="2340" w:type="dxa"/>
          </w:tcPr>
          <w:p>
            <w:pPr/>
            <w:r>
              <w:t xml:space="preserve">V</w:t>
            </w:r>
          </w:p>
        </w:tc>
      </w:tr>
      <w:tr>
        <w:tc>
          <w:tcPr>
            <w:tcW w:w="2340" w:type="dxa"/>
          </w:tcPr>
          <w:p>
            <w:pPr/>
            <w:r>
              <w:t xml:space="preserve">3</w:t>
            </w:r>
          </w:p>
        </w:tc>
        <w:tc>
          <w:tcPr>
            <w:tcW w:w="2340" w:type="dxa"/>
          </w:tcPr>
          <w:p>
            <w:pPr/>
            <w:r>
              <w:t xml:space="preserve">Araci (2019), arXiv 1908.10063</w:t>
            </w:r>
          </w:p>
        </w:tc>
        <w:tc>
          <w:tcPr>
            <w:tcW w:w="2340" w:type="dxa"/>
          </w:tcPr>
          <w:p>
            <w:pPr/>
            <w:r>
              <w:t xml:space="preserve">FinBERT definition and benchmarks</w:t>
            </w:r>
          </w:p>
        </w:tc>
        <w:tc>
          <w:tcPr>
            <w:tcW w:w="2340" w:type="dxa"/>
          </w:tcPr>
          <w:p>
            <w:pPr/>
            <w:r>
              <w:t xml:space="preserve">C</w:t>
            </w:r>
          </w:p>
        </w:tc>
      </w:tr>
      <w:tr>
        <w:tc>
          <w:tcPr>
            <w:tcW w:w="2340" w:type="dxa"/>
          </w:tcPr>
          <w:p>
            <w:pPr/>
            <w:r>
              <w:t xml:space="preserve">4</w:t>
            </w:r>
          </w:p>
        </w:tc>
        <w:tc>
          <w:tcPr>
            <w:tcW w:w="2340" w:type="dxa"/>
          </w:tcPr>
          <w:p>
            <w:pPr/>
            <w:r>
              <w:t xml:space="preserve">Yang, Uy and Huang (2020), arXiv 2006.08097</w:t>
            </w:r>
          </w:p>
        </w:tc>
        <w:tc>
          <w:tcPr>
            <w:tcW w:w="2340" w:type="dxa"/>
          </w:tcPr>
          <w:p>
            <w:pPr/>
            <w:r>
              <w:t xml:space="preserve">finbert-tone pre-training</w:t>
            </w:r>
          </w:p>
        </w:tc>
        <w:tc>
          <w:tcPr>
            <w:tcW w:w="2340" w:type="dxa"/>
          </w:tcPr>
          <w:p>
            <w:pPr/>
            <w:r>
              <w:t xml:space="preserve">C</w:t>
            </w:r>
          </w:p>
        </w:tc>
      </w:tr>
      <w:tr>
        <w:tc>
          <w:tcPr>
            <w:tcW w:w="2340" w:type="dxa"/>
          </w:tcPr>
          <w:p>
            <w:pPr/>
            <w:r>
              <w:t xml:space="preserve">5</w:t>
            </w:r>
          </w:p>
        </w:tc>
        <w:tc>
          <w:tcPr>
            <w:tcW w:w="2340" w:type="dxa"/>
          </w:tcPr>
          <w:p>
            <w:pPr/>
            <w:r>
              <w:t xml:space="preserve">Malo et al. (2014), JASIST 65(4)</w:t>
            </w:r>
          </w:p>
        </w:tc>
        <w:tc>
          <w:tcPr>
            <w:tcW w:w="2340" w:type="dxa"/>
          </w:tcPr>
          <w:p>
            <w:pPr/>
            <w:r>
              <w:t xml:space="preserve">Financial PhraseBank</w:t>
            </w:r>
          </w:p>
        </w:tc>
        <w:tc>
          <w:tcPr>
            <w:tcW w:w="2340" w:type="dxa"/>
          </w:tcPr>
          <w:p>
            <w:pPr/>
            <w:r>
              <w:t xml:space="preserve">C</w:t>
            </w:r>
          </w:p>
        </w:tc>
      </w:tr>
      <w:tr>
        <w:tc>
          <w:tcPr>
            <w:tcW w:w="2340" w:type="dxa"/>
          </w:tcPr>
          <w:p>
            <w:pPr/>
            <w:r>
              <w:t xml:space="preserve">6</w:t>
            </w:r>
          </w:p>
        </w:tc>
        <w:tc>
          <w:tcPr>
            <w:tcW w:w="2340" w:type="dxa"/>
          </w:tcPr>
          <w:p>
            <w:pPr/>
            <w:r>
              <w:t xml:space="preserve">Xu and Cohen (2018), ACL</w:t>
            </w:r>
          </w:p>
        </w:tc>
        <w:tc>
          <w:tcPr>
            <w:tcW w:w="2340" w:type="dxa"/>
          </w:tcPr>
          <w:p>
            <w:pPr/>
            <w:r>
              <w:t xml:space="preserve">StockNet and realistic accuracy levels</w:t>
            </w:r>
          </w:p>
        </w:tc>
        <w:tc>
          <w:tcPr>
            <w:tcW w:w="2340" w:type="dxa"/>
          </w:tcPr>
          <w:p>
            <w:pPr/>
            <w:r>
              <w:t xml:space="preserve">C</w:t>
            </w:r>
          </w:p>
        </w:tc>
      </w:tr>
      <w:tr>
        <w:tc>
          <w:tcPr>
            <w:tcW w:w="2340" w:type="dxa"/>
          </w:tcPr>
          <w:p>
            <w:pPr/>
            <w:r>
              <w:t xml:space="preserve">7</w:t>
            </w:r>
          </w:p>
        </w:tc>
        <w:tc>
          <w:tcPr>
            <w:tcW w:w="2340" w:type="dxa"/>
          </w:tcPr>
          <w:p>
            <w:pPr/>
            <w:r>
              <w:t xml:space="preserve">Sawhney et al. (2020), EMNLP</w:t>
            </w:r>
          </w:p>
        </w:tc>
        <w:tc>
          <w:tcPr>
            <w:tcW w:w="2340" w:type="dxa"/>
          </w:tcPr>
          <w:p>
            <w:pPr/>
            <w:r>
              <w:t xml:space="preserve">Attention-based fusion</w:t>
            </w:r>
          </w:p>
        </w:tc>
        <w:tc>
          <w:tcPr>
            <w:tcW w:w="2340" w:type="dxa"/>
          </w:tcPr>
          <w:p>
            <w:pPr/>
            <w:r>
              <w:t xml:space="preserve">C</w:t>
            </w:r>
          </w:p>
        </w:tc>
      </w:tr>
      <w:tr>
        <w:tc>
          <w:tcPr>
            <w:tcW w:w="2340" w:type="dxa"/>
          </w:tcPr>
          <w:p>
            <w:pPr/>
            <w:r>
              <w:t xml:space="preserve">8</w:t>
            </w:r>
          </w:p>
        </w:tc>
        <w:tc>
          <w:tcPr>
            <w:tcW w:w="2340" w:type="dxa"/>
          </w:tcPr>
          <w:p>
            <w:pPr/>
            <w:r>
              <w:t xml:space="preserve">Li et al. (2023), EMNLP Industry</w:t>
            </w:r>
          </w:p>
        </w:tc>
        <w:tc>
          <w:tcPr>
            <w:tcW w:w="2340" w:type="dxa"/>
          </w:tcPr>
          <w:p>
            <w:pPr/>
            <w:r>
              <w:t xml:space="preserve">LLMs versus fine-tuned models</w:t>
            </w:r>
          </w:p>
        </w:tc>
        <w:tc>
          <w:tcPr>
            <w:tcW w:w="2340" w:type="dxa"/>
          </w:tcPr>
          <w:p>
            <w:pPr/>
            <w:r>
              <w:t xml:space="preserve">C</w:t>
            </w:r>
          </w:p>
        </w:tc>
      </w:tr>
      <w:tr>
        <w:tc>
          <w:tcPr>
            <w:tcW w:w="2340" w:type="dxa"/>
          </w:tcPr>
          <w:p>
            <w:pPr/>
            <w:r>
              <w:t xml:space="preserve">9</w:t>
            </w:r>
          </w:p>
        </w:tc>
        <w:tc>
          <w:tcPr>
            <w:tcW w:w="2340" w:type="dxa"/>
          </w:tcPr>
          <w:p>
            <w:pPr/>
            <w:r>
              <w:t xml:space="preserve">Shah and Chava (2023), arXiv 2305.16633</w:t>
            </w:r>
          </w:p>
        </w:tc>
        <w:tc>
          <w:tcPr>
            <w:tcW w:w="2340" w:type="dxa"/>
          </w:tcPr>
          <w:p>
            <w:pPr/>
            <w:r>
              <w:t xml:space="preserve">Zero-shot LLM benchmarking</w:t>
            </w:r>
          </w:p>
        </w:tc>
        <w:tc>
          <w:tcPr>
            <w:tcW w:w="2340" w:type="dxa"/>
          </w:tcPr>
          <w:p>
            <w:pPr/>
            <w:r>
              <w:t xml:space="preserve">C</w:t>
            </w:r>
          </w:p>
        </w:tc>
      </w:tr>
      <w:tr>
        <w:tc>
          <w:tcPr>
            <w:tcW w:w="2340" w:type="dxa"/>
          </w:tcPr>
          <w:p>
            <w:pPr/>
            <w:r>
              <w:t xml:space="preserve">10</w:t>
            </w:r>
          </w:p>
        </w:tc>
        <w:tc>
          <w:tcPr>
            <w:tcW w:w="2340" w:type="dxa"/>
          </w:tcPr>
          <w:p>
            <w:pPr/>
            <w:r>
              <w:t xml:space="preserve">Kirtac and Germano (2024), FRL 62</w:t>
            </w:r>
          </w:p>
        </w:tc>
        <w:tc>
          <w:tcPr>
            <w:tcW w:w="2340" w:type="dxa"/>
          </w:tcPr>
          <w:p>
            <w:pPr/>
            <w:r>
              <w:t xml:space="preserve">LLM sentiment trading</w:t>
            </w:r>
          </w:p>
        </w:tc>
        <w:tc>
          <w:tcPr>
            <w:tcW w:w="2340" w:type="dxa"/>
          </w:tcPr>
          <w:p>
            <w:pPr/>
            <w:r>
              <w:t xml:space="preserve">C</w:t>
            </w:r>
          </w:p>
        </w:tc>
      </w:tr>
      <w:tr>
        <w:tc>
          <w:tcPr>
            <w:tcW w:w="2340" w:type="dxa"/>
          </w:tcPr>
          <w:p>
            <w:pPr/>
            <w:r>
              <w:t xml:space="preserve">11</w:t>
            </w:r>
          </w:p>
        </w:tc>
        <w:tc>
          <w:tcPr>
            <w:tcW w:w="2340" w:type="dxa"/>
          </w:tcPr>
          <w:p>
            <w:pPr/>
            <w:r>
              <w:t xml:space="preserve">Harvey, Liu and Zhu (2016), RFS 29(1)</w:t>
            </w:r>
          </w:p>
        </w:tc>
        <w:tc>
          <w:tcPr>
            <w:tcW w:w="2340" w:type="dxa"/>
          </w:tcPr>
          <w:p>
            <w:pPr/>
            <w:r>
              <w:t xml:space="preserve">Multiple testing hurdle</w:t>
            </w:r>
          </w:p>
        </w:tc>
        <w:tc>
          <w:tcPr>
            <w:tcW w:w="2340" w:type="dxa"/>
          </w:tcPr>
          <w:p>
            <w:pPr/>
            <w:r>
              <w:t xml:space="preserve">C</w:t>
            </w:r>
          </w:p>
        </w:tc>
      </w:tr>
      <w:tr>
        <w:tc>
          <w:tcPr>
            <w:tcW w:w="2340" w:type="dxa"/>
          </w:tcPr>
          <w:p>
            <w:pPr/>
            <w:r>
              <w:t xml:space="preserve">12</w:t>
            </w:r>
          </w:p>
        </w:tc>
        <w:tc>
          <w:tcPr>
            <w:tcW w:w="2340" w:type="dxa"/>
          </w:tcPr>
          <w:p>
            <w:pPr/>
            <w:r>
              <w:t xml:space="preserve">Bailey et al. (2016), Journal of Computational Finance</w:t>
            </w:r>
          </w:p>
        </w:tc>
        <w:tc>
          <w:tcPr>
            <w:tcW w:w="2340" w:type="dxa"/>
          </w:tcPr>
          <w:p>
            <w:pPr/>
            <w:r>
              <w:t xml:space="preserve">Probability of backtest overfitting</w:t>
            </w:r>
          </w:p>
        </w:tc>
        <w:tc>
          <w:tcPr>
            <w:tcW w:w="2340" w:type="dxa"/>
          </w:tcPr>
          <w:p>
            <w:pPr/>
            <w:r>
              <w:t xml:space="preserve">C</w:t>
            </w:r>
          </w:p>
        </w:tc>
      </w:tr>
      <w:tr>
        <w:tc>
          <w:tcPr>
            <w:tcW w:w="2340" w:type="dxa"/>
          </w:tcPr>
          <w:p>
            <w:pPr/>
            <w:r>
              <w:t xml:space="preserve">13</w:t>
            </w:r>
          </w:p>
        </w:tc>
        <w:tc>
          <w:tcPr>
            <w:tcW w:w="2340" w:type="dxa"/>
          </w:tcPr>
          <w:p>
            <w:pPr/>
            <w:r>
              <w:t xml:space="preserve">Bailey and Lopez de Prado (2014), Journal of Portfolio Management</w:t>
            </w:r>
          </w:p>
        </w:tc>
        <w:tc>
          <w:tcPr>
            <w:tcW w:w="2340" w:type="dxa"/>
          </w:tcPr>
          <w:p>
            <w:pPr/>
            <w:r>
              <w:t xml:space="preserve">Deflated Sharpe Ratio</w:t>
            </w:r>
          </w:p>
        </w:tc>
        <w:tc>
          <w:tcPr>
            <w:tcW w:w="2340" w:type="dxa"/>
          </w:tcPr>
          <w:p>
            <w:pPr/>
            <w:r>
              <w:t xml:space="preserve">C</w:t>
            </w:r>
          </w:p>
        </w:tc>
      </w:tr>
      <w:tr>
        <w:tc>
          <w:tcPr>
            <w:tcW w:w="2340" w:type="dxa"/>
          </w:tcPr>
          <w:p>
            <w:pPr/>
            <w:r>
              <w:t xml:space="preserve">14</w:t>
            </w:r>
          </w:p>
        </w:tc>
        <w:tc>
          <w:tcPr>
            <w:tcW w:w="2340" w:type="dxa"/>
          </w:tcPr>
          <w:p>
            <w:pPr/>
            <w:r>
              <w:t xml:space="preserve">Lopez de Prado (2018), Advances in Financial Machine Learning</w:t>
            </w:r>
          </w:p>
        </w:tc>
        <w:tc>
          <w:tcPr>
            <w:tcW w:w="2340" w:type="dxa"/>
          </w:tcPr>
          <w:p>
            <w:pPr/>
            <w:r>
              <w:t xml:space="preserve">Purged CV, embargo, labeling</w:t>
            </w:r>
          </w:p>
        </w:tc>
        <w:tc>
          <w:tcPr>
            <w:tcW w:w="2340" w:type="dxa"/>
          </w:tcPr>
          <w:p>
            <w:pPr/>
            <w:r>
              <w:t xml:space="preserve">C</w:t>
            </w:r>
          </w:p>
        </w:tc>
      </w:tr>
      <w:tr>
        <w:tc>
          <w:tcPr>
            <w:tcW w:w="2340" w:type="dxa"/>
          </w:tcPr>
          <w:p>
            <w:pPr/>
            <w:r>
              <w:t xml:space="preserve">15</w:t>
            </w:r>
          </w:p>
        </w:tc>
        <w:tc>
          <w:tcPr>
            <w:tcW w:w="2340" w:type="dxa"/>
          </w:tcPr>
          <w:p>
            <w:pPr/>
            <w:r>
              <w:t xml:space="preserve">Jeon, McCurdy and Zhao (2022), JFE</w:t>
            </w:r>
          </w:p>
        </w:tc>
        <w:tc>
          <w:tcPr>
            <w:tcW w:w="2340" w:type="dxa"/>
          </w:tcPr>
          <w:p>
            <w:pPr/>
            <w:r>
              <w:t xml:space="preserve">News arrival, jumps and volatility</w:t>
            </w:r>
          </w:p>
        </w:tc>
        <w:tc>
          <w:tcPr>
            <w:tcW w:w="2340" w:type="dxa"/>
          </w:tcPr>
          <w:p>
            <w:pPr/>
            <w:r>
              <w:t xml:space="preserve">C, check pages</w:t>
            </w:r>
          </w:p>
        </w:tc>
      </w:tr>
    </w:tbl>
    <w:p>
      <w:pPr>
        <w:pStyle w:val="Heading2"/>
      </w:pPr>
      <w:r>
        <w:t xml:space="preserve">9. Open questions</w:t>
      </w:r>
    </w:p>
    <w:p>
      <w:pPr>
        <w:pStyle w:val="ListParagraph"/>
        <w:numPr>
          <w:ilvl w:val="0"/>
          <w:numId w:val="16"/>
        </w:numPr>
      </w:pPr>
      <w:r>
        <w:t xml:space="preserve">Do sub-daily horizons capture value that close-to-close models miss, given that Indian large caps incorporate public news within minutes? Untested on GDELT batches.</w:t>
      </w:r>
    </w:p>
    <w:p>
      <w:pPr>
        <w:pStyle w:val="ListParagraph"/>
        <w:numPr>
          <w:ilvl w:val="0"/>
          <w:numId w:val="16"/>
        </w:numPr>
      </w:pPr>
      <w:r>
        <w:t xml:space="preserve">Does expectation-aware, entity-specific LLM scoring beat tone scoring around earnings days?</w:t>
      </w:r>
    </w:p>
    <w:p>
      <w:pPr>
        <w:pStyle w:val="ListParagraph"/>
        <w:numPr>
          <w:ilvl w:val="0"/>
          <w:numId w:val="16"/>
        </w:numPr>
      </w:pPr>
      <w:r>
        <w:t xml:space="preserve">Does full-text reconstruction improve on headline-only features for Indian news?</w:t>
      </w:r>
    </w:p>
    <w:p>
      <w:pPr>
        <w:pStyle w:val="ListParagraph"/>
        <w:numPr>
          <w:ilvl w:val="0"/>
          <w:numId w:val="16"/>
        </w:numPr>
      </w:pPr>
      <w:r>
        <w:t xml:space="preserve">Does the small-cap predictability found in US data appear in Indian mid and small caps, and how does the 2025 algorithmic-trading framework interact with it?</w:t>
      </w:r>
    </w:p>
    <w:p>
      <w:pPr>
        <w:pStyle w:val="ListParagraph"/>
        <w:numPr>
          <w:ilvl w:val="0"/>
          <w:numId w:val="16"/>
        </w:numPr>
      </w:pPr>
      <w:r>
        <w:t xml:space="preserve">Can news volume and dispersion predict volatility and jumps profitably even when direction is a null?</w:t>
      </w:r>
    </w:p>
    <w:p>
      <w:pPr>
        <w:pStyle w:val="Heading2"/>
      </w:pPr>
      <w:r>
        <w:t xml:space="preserve">10. Corrections applied to the original scan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Original statement</w:t>
            </w:r>
          </w:p>
        </w:tc>
        <w:tc>
          <w:tcPr>
            <w:tcW w:w="4680" w:type="dxa"/>
            <w:shd w:val="clear" w:color="auto" w:fill="F2F2F2"/>
          </w:tcPr>
          <w:p>
            <w:pPr/>
            <w:r>
              <w:t xml:space="preserve">Correction</w:t>
            </w:r>
          </w:p>
        </w:tc>
      </w:tr>
      <w:tr>
        <w:tc>
          <w:tcPr>
            <w:tcW w:w="4680" w:type="dxa"/>
          </w:tcPr>
          <w:p>
            <w:pPr/>
            <w:r>
              <w:t xml:space="preserve">Break-even edge is 1.0 to 1.5 points</w:t>
            </w:r>
          </w:p>
        </w:tc>
        <w:tc>
          <w:tcPr>
            <w:tcW w:w="4680" w:type="dxa"/>
          </w:tcPr>
          <w:p>
            <w:pPr/>
            <w:r>
              <w:t xml:space="preserve">About 3.6 to 11 points under stated assumptions</w:t>
            </w:r>
          </w:p>
        </w:tc>
      </w:tr>
      <w:tr>
        <w:tc>
          <w:tcPr>
            <w:tcW w:w="4680" w:type="dxa"/>
          </w:tcPr>
          <w:p>
            <w:pPr/>
            <w:r>
              <w:t xml:space="preserve">arXiv 2105.09154 described as an equity study by Balahur et al.</w:t>
            </w:r>
          </w:p>
        </w:tc>
        <w:tc>
          <w:tcPr>
            <w:tcW w:w="4680" w:type="dxa"/>
          </w:tcPr>
          <w:p>
            <w:pPr/>
            <w:r>
              <w:t xml:space="preserve">It is a crude-oil forecasting study; attribution unverified</w:t>
            </w:r>
          </w:p>
        </w:tc>
      </w:tr>
      <w:tr>
        <w:tc>
          <w:tcPr>
            <w:tcW w:w="4680" w:type="dxa"/>
          </w:tcPr>
          <w:p>
            <w:pPr/>
            <w:r>
              <w:t xml:space="preserve">Shah et al. titled "Zero-Shot Learning for Financial Text Analytics"</w:t>
            </w:r>
          </w:p>
        </w:tc>
        <w:tc>
          <w:tcPr>
            <w:tcW w:w="4680" w:type="dxa"/>
          </w:tcPr>
          <w:p>
            <w:pPr/>
            <w:r>
              <w:t xml:space="preserve">Title is "Zero is Not Hero Yet" (arXiv 2305.16633); latency claim unverified</w:t>
            </w:r>
          </w:p>
        </w:tc>
      </w:tr>
      <w:tr>
        <w:tc>
          <w:tcPr>
            <w:tcW w:w="4680" w:type="dxa"/>
          </w:tcPr>
          <w:p>
            <w:pPr/>
            <w:r>
              <w:t xml:space="preserve">Deflated Sharpe Ratio attributed to the Notices of the AMS paper</w:t>
            </w:r>
          </w:p>
        </w:tc>
        <w:tc>
          <w:tcPr>
            <w:tcW w:w="4680" w:type="dxa"/>
          </w:tcPr>
          <w:p>
            <w:pPr/>
            <w:r>
              <w:t xml:space="preserve">DSR is Bailey and Lopez de Prado (2014)</w:t>
            </w:r>
          </w:p>
        </w:tc>
      </w:tr>
      <w:tr>
        <w:tc>
          <w:tcPr>
            <w:tcW w:w="4680" w:type="dxa"/>
          </w:tcPr>
          <w:p>
            <w:pPr/>
            <w:r>
              <w:t xml:space="preserve">Lopez-Lira and Tang: JFE 2026, DOI 10.17632/f39x226htv.2</w:t>
            </w:r>
          </w:p>
        </w:tc>
        <w:tc>
          <w:tcPr>
            <w:tcW w:w="4680" w:type="dxa"/>
          </w:tcPr>
          <w:p>
            <w:pPr/>
            <w:r>
              <w:t xml:space="preserve">That DOI is a data-repository DOI; confirm journal status before citing</w:t>
            </w:r>
          </w:p>
        </w:tc>
      </w:tr>
      <w:tr>
        <w:tc>
          <w:tcPr>
            <w:tcW w:w="4680" w:type="dxa"/>
          </w:tcPr>
          <w:p>
            <w:pPr/>
            <w:r>
              <w:t xml:space="preserve">Tata Motors example: Rs 950 split into Rs 570 and Rs 380</w:t>
            </w:r>
          </w:p>
        </w:tc>
        <w:tc>
          <w:tcPr>
            <w:tcW w:w="4680" w:type="dxa"/>
          </w:tcPr>
          <w:p>
            <w:pPr/>
            <w:r>
              <w:t xml:space="preserve">Price discovery gave about Rs 400 and Rs 261</w:t>
            </w:r>
          </w:p>
        </w:tc>
      </w:tr>
      <w:tr>
        <w:tc>
          <w:tcPr>
            <w:tcW w:w="4680" w:type="dxa"/>
          </w:tcPr>
          <w:p>
            <w:pPr/>
            <w:r>
              <w:t xml:space="preserve">Specific leakage mechanisms named for individual papers</w:t>
            </w:r>
          </w:p>
        </w:tc>
        <w:tc>
          <w:tcPr>
            <w:tcW w:w="4680" w:type="dxa"/>
          </w:tcPr>
          <w:p>
            <w:pPr/>
            <w:r>
              <w:t xml:space="preserve">Hypotheses only; not established</w:t>
            </w:r>
          </w:p>
        </w:tc>
      </w:tr>
      <w:tr>
        <w:tc>
          <w:tcPr>
            <w:tcW w:w="4680" w:type="dxa"/>
          </w:tcPr>
          <w:p>
            <w:pPr/>
            <w:r>
              <w:t xml:space="preserve">"Glaring absence" of rigorous Indian null studies</w:t>
            </w:r>
          </w:p>
        </w:tc>
        <w:tc>
          <w:tcPr>
            <w:tcW w:w="4680" w:type="dxa"/>
          </w:tcPr>
          <w:p>
            <w:pPr/>
            <w:r>
              <w:t xml:space="preserve">Statement limited to sources reviewed; needs a broader search</w:t>
            </w:r>
          </w:p>
        </w:tc>
      </w:tr>
      <w:tr>
        <w:tc>
          <w:tcPr>
            <w:tcW w:w="4680" w:type="dxa"/>
          </w:tcPr>
          <w:p>
            <w:pPr/>
            <w:r>
              <w:t xml:space="preserve">Statistics from Quantumrun, Jarvis Invest and similar</w:t>
            </w:r>
          </w:p>
        </w:tc>
        <w:tc>
          <w:tcPr>
            <w:tcW w:w="4680" w:type="dxa"/>
          </w:tcPr>
          <w:p>
            <w:pPr/>
            <w:r>
              <w:t xml:space="preserve">Removed</w:t>
            </w:r>
          </w:p>
        </w:tc>
      </w:tr>
      <w:tr>
        <w:tc>
          <w:tcPr>
            <w:tcW w:w="4680" w:type="dxa"/>
          </w:tcPr>
          <w:p>
            <w:pPr/>
            <w:r>
              <w:t xml:space="preserve">Stray citation markers and a LaTeX formula artefact</w:t>
            </w:r>
          </w:p>
        </w:tc>
        <w:tc>
          <w:tcPr>
            <w:tcW w:w="4680" w:type="dxa"/>
          </w:tcPr>
          <w:p>
            <w:pPr/>
            <w:r>
              <w:t xml:space="preserve">Removed</w:t>
            </w:r>
          </w:p>
        </w:tc>
      </w:tr>
    </w:tbl>
    <w:p>
      <w:pPr>
        <w:pStyle w:val="Heading2"/>
      </w:pPr>
      <w:r>
        <w:t xml:space="preserve">11. Source links</w:t>
      </w:r>
    </w:p>
    <w:p>
      <w:pPr>
        <w:pStyle w:val="ListParagraph"/>
        <w:numPr>
          <w:ilvl w:val="0"/>
          <w:numId w:val="17"/>
        </w:numPr>
      </w:pPr>
      <w:r>
        <w:t xml:space="preserve">https://arxiv.org/abs/2304.07619</w:t>
      </w:r>
    </w:p>
    <w:p>
      <w:pPr>
        <w:pStyle w:val="ListParagraph"/>
        <w:numPr>
          <w:ilvl w:val="0"/>
          <w:numId w:val="17"/>
        </w:numPr>
      </w:pPr>
      <w:r>
        <w:t xml:space="preserve">https://arxiv.org/abs/1908.10063</w:t>
      </w:r>
    </w:p>
    <w:p>
      <w:pPr>
        <w:pStyle w:val="ListParagraph"/>
        <w:numPr>
          <w:ilvl w:val="0"/>
          <w:numId w:val="17"/>
        </w:numPr>
      </w:pPr>
      <w:r>
        <w:t xml:space="preserve">https://arxiv.org/abs/2006.08097</w:t>
      </w:r>
    </w:p>
    <w:p>
      <w:pPr>
        <w:pStyle w:val="ListParagraph"/>
        <w:numPr>
          <w:ilvl w:val="0"/>
          <w:numId w:val="17"/>
        </w:numPr>
      </w:pPr>
      <w:r>
        <w:t xml:space="preserve">https://arxiv.org/abs/2305.16633</w:t>
      </w:r>
    </w:p>
    <w:p>
      <w:pPr>
        <w:pStyle w:val="ListParagraph"/>
        <w:numPr>
          <w:ilvl w:val="0"/>
          <w:numId w:val="17"/>
        </w:numPr>
      </w:pPr>
      <w:r>
        <w:t xml:space="preserve">https://arxiv.org/abs/2412.19245</w:t>
      </w:r>
    </w:p>
    <w:p>
      <w:pPr>
        <w:pStyle w:val="ListParagraph"/>
        <w:numPr>
          <w:ilvl w:val="0"/>
          <w:numId w:val="17"/>
        </w:numPr>
      </w:pPr>
      <w:r>
        <w:t xml:space="preserve">https://aclanthology.org/P18-1183/</w:t>
      </w:r>
    </w:p>
    <w:p>
      <w:pPr>
        <w:pStyle w:val="ListParagraph"/>
        <w:numPr>
          <w:ilvl w:val="0"/>
          <w:numId w:val="17"/>
        </w:numPr>
      </w:pPr>
      <w:r>
        <w:t xml:space="preserve">https://aclanthology.org/2020.emnlp-main.676/</w:t>
      </w:r>
    </w:p>
    <w:p>
      <w:pPr>
        <w:pStyle w:val="ListParagraph"/>
        <w:numPr>
          <w:ilvl w:val="0"/>
          <w:numId w:val="17"/>
        </w:numPr>
      </w:pPr>
      <w:r>
        <w:t xml:space="preserve">https://aclanthology.org/2023.emnlp-industry.39.pdf</w:t>
      </w:r>
    </w:p>
    <w:p>
      <w:pPr>
        <w:pStyle w:val="ListParagraph"/>
        <w:numPr>
          <w:ilvl w:val="0"/>
          <w:numId w:val="17"/>
        </w:numPr>
      </w:pPr>
      <w:r>
        <w:t xml:space="preserve">https://doi.org/10.1093/rfs/hhn053</w:t>
      </w:r>
    </w:p>
    <w:p>
      <w:pPr>
        <w:pStyle w:val="ListParagraph"/>
        <w:numPr>
          <w:ilvl w:val="0"/>
          <w:numId w:val="17"/>
        </w:numPr>
      </w:pPr>
      <w:r>
        <w:t xml:space="preserve">https://doi.org/10.1093/rfs/hhv059</w:t>
      </w:r>
    </w:p>
    <w:p>
      <w:pPr>
        <w:pStyle w:val="ListParagraph"/>
        <w:numPr>
          <w:ilvl w:val="0"/>
          <w:numId w:val="17"/>
        </w:numPr>
      </w:pPr>
      <w:r>
        <w:t xml:space="preserve">https://doi.org/10.1002/asi.23062</w:t>
      </w:r>
    </w:p>
    <w:p>
      <w:pPr>
        <w:pStyle w:val="ListParagraph"/>
        <w:numPr>
          <w:ilvl w:val="0"/>
          <w:numId w:val="17"/>
        </w:numPr>
      </w:pPr>
      <w:r>
        <w:t xml:space="preserve">https://doi.org/10.21314/JCF.2016.322</w:t>
      </w:r>
    </w:p>
    <w:p>
      <w:pPr>
        <w:pStyle w:val="ListParagraph"/>
        <w:numPr>
          <w:ilvl w:val="0"/>
          <w:numId w:val="17"/>
        </w:numPr>
      </w:pPr>
      <w:r>
        <w:t xml:space="preserve">https://www.business-standard.com/markets/news/tata-motors-cv-shares-to-list-on-november-12-after-demerger-check-likely-listing-price-details-125111100118_1.html</w:t>
      </w:r>
    </w:p>
    <w:p>
      <w:pPr>
        <w:pStyle w:val="ListParagraph"/>
        <w:numPr>
          <w:ilvl w:val="0"/>
          <w:numId w:val="17"/>
        </w:numPr>
      </w:pPr>
      <w:r>
        <w:t xml:space="preserve">https://www.business-standard.com/amp/markets/news/tata-motors-demerger-how-the-split-will-unlock-value-for-investors-shareholders-and-tata-group-125110500347_1.html</w:t>
      </w:r>
    </w:p>
    <w:p>
      <w:pPr>
        <w:pStyle w:val="ListParagraph"/>
        <w:numPr>
          <w:ilvl w:val="0"/>
          <w:numId w:val="17"/>
        </w:numPr>
      </w:pPr>
      <w:r>
        <w:t xml:space="preserve">https://support.zerodha.com/category/console/corporate-actions/ca-others/articles/tata-motors-demerger</w:t>
      </w:r>
    </w:p>
    <w:p>
      <w:pPr>
        <w:pStyle w:val="ListParagraph"/>
        <w:numPr>
          <w:ilvl w:val="0"/>
          <w:numId w:val="17"/>
        </w:numPr>
      </w:pPr>
      <w:r>
        <w:t xml:space="preserve">https://www.sebi.gov.in/legal/circulars/feb-2025/safer-participation-of-retail-investors-in-algorithmic-trading_91614.html</w:t>
      </w:r>
    </w:p>
    <w:p>
      <w:pPr>
        <w:pStyle w:val="ListParagraph"/>
        <w:numPr>
          <w:ilvl w:val="0"/>
          <w:numId w:val="17"/>
        </w:numPr>
      </w:pPr>
      <w:r>
        <w:t xml:space="preserve">https://www.sebi.gov.in/legal/circulars/oct-2024/measures-to-strengthen-equity-index-derivatives-framework-for-increased-investor-protection-and-market-stability_87208.html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Literature &amp; Landscape Review</dc:title>
  <dc:description>Claude Docs node/93389038-0317@1 docx-w6</dc:description>
  <cp:revision>1</cp:revision>
</cp:coreProperties>
</file>