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Dataset Design</w:t>
      </w:r>
    </w:p>
    <w:p>
      <w:pPr/>
      <w:r>
        <w:t xml:space="preserve">FinFusionNet: NIFTY50 sentiment fusion thesis. Step 2: date window, universe, sector mapping and GDELT pipeline. Draft of 16 Oct 2026.</w:t>
      </w:r>
    </w:p>
    <w:p>
      <w:pPr>
        <w:pStyle w:val="Heading2"/>
      </w:pPr>
      <w:r>
        <w:t xml:space="preserve">1. Date window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Price fetch (indicator warm-up)</w:t>
            </w:r>
          </w:p>
        </w:tc>
        <w:tc>
          <w:tcPr>
            <w:tcW w:w="4680" w:type="dxa"/>
          </w:tcPr>
          <w:p>
            <w:pPr/>
            <w:r>
              <w:t xml:space="preserve">2020-01-01 to 2026-09-30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Modeling window</w:t>
            </w:r>
          </w:p>
        </w:tc>
        <w:tc>
          <w:tcPr>
            <w:tcW w:w="4680" w:type="dxa"/>
          </w:tcPr>
          <w:p>
            <w:pPr/>
            <w:r>
              <w:t xml:space="preserve">2021-01-01 to 2026-09-30 (about 5.75 years, roughly 1,430 trading days)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Freeze date</w:t>
            </w:r>
          </w:p>
        </w:tc>
        <w:tc>
          <w:tcPr>
            <w:tcW w:w="4680" w:type="dxa"/>
          </w:tcPr>
          <w:p>
            <w:pPr/>
            <w:r>
              <w:t xml:space="preserve">2026-09-30, the last day before the latest index change</w:t>
            </w:r>
          </w:p>
        </w:tc>
      </w:tr>
    </w:tbl>
    <w:p>
      <w:pPr/>
      <w:r>
        <w:t xml:space="preserve">Rationale:</w:t>
      </w:r>
    </w:p>
    <w:p>
      <w:pPr>
        <w:pStyle w:val="ListParagraph"/>
        <w:numPr>
          <w:ilvl w:val="0"/>
          <w:numId w:val="2"/>
        </w:numPr>
      </w:pPr>
      <w:r>
        <w:t xml:space="preserve">Clears the 5-year minimum with margin.</w:t>
      </w:r>
    </w:p>
    <w:p>
      <w:pPr>
        <w:pStyle w:val="ListParagraph"/>
        <w:numPr>
          <w:ilvl w:val="0"/>
          <w:numId w:val="2"/>
        </w:numPr>
      </w:pPr>
      <w:r>
        <w:t xml:space="preserve">Starting in January 2021 keeps the March 2020 crash out of training, but the window still spans very different regimes: the 2022 drawdown, the June 2024 election-day fall of about 5.9%, and later tariff-driven volatility.</w:t>
      </w:r>
    </w:p>
    <w:p>
      <w:pPr>
        <w:pStyle w:val="ListParagraph"/>
        <w:numPr>
          <w:ilvl w:val="0"/>
          <w:numId w:val="2"/>
        </w:numPr>
      </w:pPr>
      <w:r>
        <w:t xml:space="preserve">GDELT 2.0 coverage does not limit the window.</w:t>
      </w:r>
    </w:p>
    <w:p>
      <w:pPr>
        <w:pStyle w:val="ListParagraph"/>
        <w:numPr>
          <w:ilvl w:val="0"/>
          <w:numId w:val="2"/>
        </w:numPr>
      </w:pPr>
      <w:r>
        <w:t xml:space="preserve">Warm-up data lets RSI, MACD, EMA, ATR and Bollinger Bands be fully defined from the first modeling day.</w:t>
      </w:r>
    </w:p>
    <w:p>
      <w:pPr/>
      <w:r>
        <w:t xml:space="preserve">Walk-forward starting point (adjust to the 34-fold design as needed): 24-month initial train (2021 to 2022), then monthly expanding folds, giving about 45 test months.</w:t>
      </w:r>
    </w:p>
    <w:p>
      <w:pPr>
        <w:pStyle w:val="Heading2"/>
      </w:pPr>
      <w:r>
        <w:t xml:space="preserve">2. Universe: point-in-time membership</w:t>
      </w:r>
    </w:p>
    <w:p>
      <w:pPr/>
      <w:r>
        <w:t xml:space="preserve">Using today's 50 constituents for a 2021 to 2026 window builds in survivorship bias, because current members were selected for market-cap growth. The primary universe is point-in-time membership; the frozen current 50 is a robustness check.</w:t>
      </w:r>
    </w:p>
    <w:p>
      <w:pPr/>
      <w:r>
        <w:t xml:space="preserve">The current list is the December 2025 constituents with one September 2026 swap: BSE replaces Wipro, effective 30 September 2026 (after the close of 29 September). A mid-September 2026 list matched the December list before that swap, which implies no March 2026 changes. That is an inference, not a confirmed fact.</w:t>
      </w:r>
    </w:p>
    <w:p>
      <w:pPr>
        <w:pStyle w:val="Heading3"/>
      </w:pPr>
      <w:r>
        <w:t xml:space="preserve">In-window index changes (effective = first day of new status)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Effective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2021-03-31</w:t>
            </w:r>
          </w:p>
        </w:tc>
        <w:tc>
          <w:tcPr>
            <w:tcW w:w="3120" w:type="dxa"/>
          </w:tcPr>
          <w:p>
            <w:pPr/>
            <w:r>
              <w:t xml:space="preserve">TATACONSUM</w:t>
            </w:r>
          </w:p>
        </w:tc>
        <w:tc>
          <w:tcPr>
            <w:tcW w:w="3120" w:type="dxa"/>
          </w:tcPr>
          <w:p>
            <w:pPr/>
            <w:r>
              <w:t xml:space="preserve">GAIL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2022-03-31</w:t>
            </w:r>
          </w:p>
        </w:tc>
        <w:tc>
          <w:tcPr>
            <w:tcW w:w="3120" w:type="dxa"/>
          </w:tcPr>
          <w:p>
            <w:pPr/>
            <w:r>
              <w:t xml:space="preserve">APOLLOHOSP</w:t>
            </w:r>
          </w:p>
        </w:tc>
        <w:tc>
          <w:tcPr>
            <w:tcW w:w="3120" w:type="dxa"/>
          </w:tcPr>
          <w:p>
            <w:pPr/>
            <w:r>
              <w:t xml:space="preserve">IOC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2022-09-30</w:t>
            </w:r>
          </w:p>
        </w:tc>
        <w:tc>
          <w:tcPr>
            <w:tcW w:w="3120" w:type="dxa"/>
          </w:tcPr>
          <w:p>
            <w:pPr/>
            <w:r>
              <w:t xml:space="preserve">ADANIENT</w:t>
            </w:r>
          </w:p>
        </w:tc>
        <w:tc>
          <w:tcPr>
            <w:tcW w:w="3120" w:type="dxa"/>
          </w:tcPr>
          <w:p>
            <w:pPr/>
            <w:r>
              <w:t xml:space="preserve">SHREECEM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2023-07-13</w:t>
            </w:r>
          </w:p>
        </w:tc>
        <w:tc>
          <w:tcPr>
            <w:tcW w:w="3120" w:type="dxa"/>
          </w:tcPr>
          <w:p>
            <w:pPr/>
            <w:r>
              <w:t xml:space="preserve">LTIM</w:t>
            </w:r>
          </w:p>
        </w:tc>
        <w:tc>
          <w:tcPr>
            <w:tcW w:w="3120" w:type="dxa"/>
          </w:tcPr>
          <w:p>
            <w:pPr/>
            <w:r>
              <w:t xml:space="preserve">HDFC (Ltd)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2024-03-28</w:t>
            </w:r>
          </w:p>
        </w:tc>
        <w:tc>
          <w:tcPr>
            <w:tcW w:w="3120" w:type="dxa"/>
          </w:tcPr>
          <w:p>
            <w:pPr/>
            <w:r>
              <w:t xml:space="preserve">SHRIRAMFIN</w:t>
            </w:r>
          </w:p>
        </w:tc>
        <w:tc>
          <w:tcPr>
            <w:tcW w:w="3120" w:type="dxa"/>
          </w:tcPr>
          <w:p>
            <w:pPr/>
            <w:r>
              <w:t xml:space="preserve">UPL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2024-09-30</w:t>
            </w:r>
          </w:p>
        </w:tc>
        <w:tc>
          <w:tcPr>
            <w:tcW w:w="3120" w:type="dxa"/>
          </w:tcPr>
          <w:p>
            <w:pPr/>
            <w:r>
              <w:t xml:space="preserve">BEL, TRENT</w:t>
            </w:r>
          </w:p>
        </w:tc>
        <w:tc>
          <w:tcPr>
            <w:tcW w:w="3120" w:type="dxa"/>
          </w:tcPr>
          <w:p>
            <w:pPr/>
            <w:r>
              <w:t xml:space="preserve">DIVISLAB, LTIM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2025-03-28</w:t>
            </w:r>
          </w:p>
        </w:tc>
        <w:tc>
          <w:tcPr>
            <w:tcW w:w="3120" w:type="dxa"/>
          </w:tcPr>
          <w:p>
            <w:pPr/>
            <w:r>
              <w:t xml:space="preserve">JIOFIN, ETERNAL</w:t>
            </w:r>
          </w:p>
        </w:tc>
        <w:tc>
          <w:tcPr>
            <w:tcW w:w="3120" w:type="dxa"/>
          </w:tcPr>
          <w:p>
            <w:pPr/>
            <w:r>
              <w:t xml:space="preserve">BPCL, BRITANNIA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2025-09-30</w:t>
            </w:r>
          </w:p>
        </w:tc>
        <w:tc>
          <w:tcPr>
            <w:tcW w:w="3120" w:type="dxa"/>
          </w:tcPr>
          <w:p>
            <w:pPr/>
            <w:r>
              <w:t xml:space="preserve">INDIGO, MAXHEALTH</w:t>
            </w:r>
          </w:p>
        </w:tc>
        <w:tc>
          <w:tcPr>
            <w:tcW w:w="3120" w:type="dxa"/>
          </w:tcPr>
          <w:p>
            <w:pPr/>
            <w:r>
              <w:t xml:space="preserve">HEROMOTOCO, INDUSINDBK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2026-09-30</w:t>
            </w:r>
          </w:p>
        </w:tc>
        <w:tc>
          <w:tcPr>
            <w:tcW w:w="3120" w:type="dxa"/>
          </w:tcPr>
          <w:p>
            <w:pPr/>
            <w:r>
              <w:t xml:space="preserve">BSE</w:t>
            </w:r>
          </w:p>
        </w:tc>
        <w:tc>
          <w:tcPr>
            <w:tcW w:w="3120" w:type="dxa"/>
          </w:tcPr>
          <w:p>
            <w:pPr/>
            <w:r>
              <w:t xml:space="preserve">WIPRO</w:t>
            </w:r>
          </w:p>
        </w:tc>
      </w:tr>
    </w:tbl>
    <w:p>
      <w:pPr/>
      <w:r>
        <w:t xml:space="preserve">This gives about 62 tickers: the current 50 plus 12 exited names. Eligibility rule: a stock is included on day t only if it is in the index and listed on day t. No backfilling.</w:t>
      </w:r>
    </w:p>
    <w:p>
      <w:pPr>
        <w:pStyle w:val="Heading3"/>
      </w:pPr>
      <w:r>
        <w:t xml:space="preserve">Data-availability flags</w:t>
      </w:r>
    </w:p>
    <w:p>
      <w:pPr>
        <w:pStyle w:val="ListParagraph"/>
        <w:numPr>
          <w:ilvl w:val="0"/>
          <w:numId w:val="3"/>
        </w:numPr>
      </w:pPr>
      <w:r>
        <w:t xml:space="preserve">Jio Financial listed in August 2023, so it has only about 3 years of history.</w:t>
      </w:r>
    </w:p>
    <w:p>
      <w:pPr>
        <w:pStyle w:val="ListParagraph"/>
        <w:numPr>
          <w:ilvl w:val="0"/>
          <w:numId w:val="3"/>
        </w:numPr>
      </w:pPr>
      <w:r>
        <w:t xml:space="preserve">Eternal (formerly Zomato) listed in July 2021.</w:t>
      </w:r>
    </w:p>
    <w:p>
      <w:pPr>
        <w:pStyle w:val="ListParagraph"/>
        <w:numPr>
          <w:ilvl w:val="0"/>
          <w:numId w:val="3"/>
        </w:numPr>
      </w:pPr>
      <w:r>
        <w:t xml:space="preserve">HDFC Ltd is delisted; yfinance may return nothing. Candidate for the EODHD fallback or NSE bhavcopy.</w:t>
      </w:r>
    </w:p>
    <w:p>
      <w:pPr>
        <w:pStyle w:val="ListParagraph"/>
        <w:numPr>
          <w:ilvl w:val="0"/>
          <w:numId w:val="3"/>
        </w:numPr>
      </w:pPr>
      <w:r>
        <w:t xml:space="preserve">Tata Motors demerged in 2025; TMPV.NS may hold a spliced history. Check it against TATAMOTORS.NS.</w:t>
      </w:r>
    </w:p>
    <w:p>
      <w:pPr>
        <w:pStyle w:val="ListParagraph"/>
        <w:numPr>
          <w:ilvl w:val="0"/>
          <w:numId w:val="3"/>
        </w:numPr>
      </w:pPr>
      <w:r>
        <w:t xml:space="preserve">Special symbols: M&amp;M.NS, BAJAJ-AUTO.NS.</w:t>
      </w:r>
    </w:p>
    <w:p>
      <w:pPr>
        <w:pStyle w:val="ListParagraph"/>
        <w:numPr>
          <w:ilvl w:val="0"/>
          <w:numId w:val="3"/>
        </w:numPr>
      </w:pPr>
      <w:r>
        <w:t xml:space="preserve">BSE had a bonus issue and split in 2025. Check adjusted prices and volume around those dates.</w:t>
      </w:r>
    </w:p>
    <w:p>
      <w:pPr>
        <w:pStyle w:val="Heading2"/>
      </w:pPr>
      <w:r>
        <w:t xml:space="preserve">3. Sector mapping (NSE macro-sectors, current 50)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Sector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Tickers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Financial Services (12)</w:t>
            </w:r>
          </w:p>
        </w:tc>
        <w:tc>
          <w:tcPr>
            <w:tcW w:w="4680" w:type="dxa"/>
          </w:tcPr>
          <w:p>
            <w:pPr/>
            <w:r>
              <w:t xml:space="preserve">AXISBANK, BAJFINANCE, BAJAJFINSV, BSE, HDFCBANK, HDFCLIFE, ICICIBANK, JIOFIN, KOTAKBANK, SBILIFE, SHRIRAMFIN, SBIN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Auto and Auto Components (5)</w:t>
            </w:r>
          </w:p>
        </w:tc>
        <w:tc>
          <w:tcPr>
            <w:tcW w:w="4680" w:type="dxa"/>
          </w:tcPr>
          <w:p>
            <w:pPr/>
            <w:r>
              <w:t xml:space="preserve">BAJAJ-AUTO, EICHERMOT, M&amp;M, MARUTI, TMPV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Healthcare (5)</w:t>
            </w:r>
          </w:p>
        </w:tc>
        <w:tc>
          <w:tcPr>
            <w:tcW w:w="4680" w:type="dxa"/>
          </w:tcPr>
          <w:p>
            <w:pPr/>
            <w:r>
              <w:t xml:space="preserve">APOLLOHOSP, CIPLA, DRREDDY, MAXHEALTH, SUNPHARMA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Information Technology (4)</w:t>
            </w:r>
          </w:p>
        </w:tc>
        <w:tc>
          <w:tcPr>
            <w:tcW w:w="4680" w:type="dxa"/>
          </w:tcPr>
          <w:p>
            <w:pPr/>
            <w:r>
              <w:t xml:space="preserve">HCLTECH, INFY, TCS, TECHM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FMCG (4)</w:t>
            </w:r>
          </w:p>
        </w:tc>
        <w:tc>
          <w:tcPr>
            <w:tcW w:w="4680" w:type="dxa"/>
          </w:tcPr>
          <w:p>
            <w:pPr/>
            <w:r>
              <w:t xml:space="preserve">HINDUNILVR, ITC, NESTLEIND, TATACONSUM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Metals and Mining (4)</w:t>
            </w:r>
          </w:p>
        </w:tc>
        <w:tc>
          <w:tcPr>
            <w:tcW w:w="4680" w:type="dxa"/>
          </w:tcPr>
          <w:p>
            <w:pPr/>
            <w:r>
              <w:t xml:space="preserve">ADANIENT, HINDALCO, JSWSTEEL, TATASTEEL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Oil, Gas and Consumable Fuels (3)</w:t>
            </w:r>
          </w:p>
        </w:tc>
        <w:tc>
          <w:tcPr>
            <w:tcW w:w="4680" w:type="dxa"/>
          </w:tcPr>
          <w:p>
            <w:pPr/>
            <w:r>
              <w:t xml:space="preserve">COALINDIA, ONGC, RELIANCE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Consumer Durables (2)</w:t>
            </w:r>
          </w:p>
        </w:tc>
        <w:tc>
          <w:tcPr>
            <w:tcW w:w="4680" w:type="dxa"/>
          </w:tcPr>
          <w:p>
            <w:pPr/>
            <w:r>
              <w:t xml:space="preserve">ASIANPAINT, TITAN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Consumer Services (2)</w:t>
            </w:r>
          </w:p>
        </w:tc>
        <w:tc>
          <w:tcPr>
            <w:tcW w:w="4680" w:type="dxa"/>
          </w:tcPr>
          <w:p>
            <w:pPr/>
            <w:r>
              <w:t xml:space="preserve">ETERNAL, TRENT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Construction Materials (2)</w:t>
            </w:r>
          </w:p>
        </w:tc>
        <w:tc>
          <w:tcPr>
            <w:tcW w:w="4680" w:type="dxa"/>
          </w:tcPr>
          <w:p>
            <w:pPr/>
            <w:r>
              <w:t xml:space="preserve">GRASIM, ULTRACEMCO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Power (2)</w:t>
            </w:r>
          </w:p>
        </w:tc>
        <w:tc>
          <w:tcPr>
            <w:tcW w:w="4680" w:type="dxa"/>
          </w:tcPr>
          <w:p>
            <w:pPr/>
            <w:r>
              <w:t xml:space="preserve">NTPC, POWERGRID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Services (2)</w:t>
            </w:r>
          </w:p>
        </w:tc>
        <w:tc>
          <w:tcPr>
            <w:tcW w:w="4680" w:type="dxa"/>
          </w:tcPr>
          <w:p>
            <w:pPr/>
            <w:r>
              <w:t xml:space="preserve">ADANIPORTS, INDIGO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Capital Goods (1)</w:t>
            </w:r>
          </w:p>
        </w:tc>
        <w:tc>
          <w:tcPr>
            <w:tcW w:w="4680" w:type="dxa"/>
          </w:tcPr>
          <w:p>
            <w:pPr/>
            <w:r>
              <w:t xml:space="preserve">BEL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Construction (1)</w:t>
            </w:r>
          </w:p>
        </w:tc>
        <w:tc>
          <w:tcPr>
            <w:tcW w:w="4680" w:type="dxa"/>
          </w:tcPr>
          <w:p>
            <w:pPr/>
            <w:r>
              <w:t xml:space="preserve">LT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Telecom (1)</w:t>
            </w:r>
          </w:p>
        </w:tc>
        <w:tc>
          <w:tcPr>
            <w:tcW w:w="4680" w:type="dxa"/>
          </w:tcPr>
          <w:p>
            <w:pPr/>
            <w:r>
              <w:t xml:space="preserve">BHARTIARTL</w:t>
            </w:r>
          </w:p>
        </w:tc>
      </w:tr>
    </w:tbl>
    <w:p>
      <w:pPr/>
      <w:r>
        <w:t xml:space="preserve">Sectors with a single stock cannot support sector-level effects. Merge Capital Goods and Construction into one industrials group, and consider folding Telecom into Services.</w:t>
      </w:r>
    </w:p>
    <w:p>
      <w:pPr/>
      <w:r>
        <w:t xml:space="preserve">Exited names (from general knowledge; verify against NSE's file):</w:t>
      </w:r>
    </w:p>
    <w:p>
      <w:pPr>
        <w:pStyle w:val="ListParagraph"/>
        <w:numPr>
          <w:ilvl w:val="0"/>
          <w:numId w:val="4"/>
        </w:numPr>
      </w:pPr>
      <w:r>
        <w:t xml:space="preserve">Oil and Gas: GAIL, IOC, BPCL</w:t>
      </w:r>
    </w:p>
    <w:p>
      <w:pPr>
        <w:pStyle w:val="ListParagraph"/>
        <w:numPr>
          <w:ilvl w:val="0"/>
          <w:numId w:val="4"/>
        </w:numPr>
      </w:pPr>
      <w:r>
        <w:t xml:space="preserve">Financial Services: HDFC, INDUSINDBK</w:t>
      </w:r>
    </w:p>
    <w:p>
      <w:pPr>
        <w:pStyle w:val="ListParagraph"/>
        <w:numPr>
          <w:ilvl w:val="0"/>
          <w:numId w:val="4"/>
        </w:numPr>
      </w:pPr>
      <w:r>
        <w:t xml:space="preserve">IT: LTIM, WIPRO</w:t>
      </w:r>
    </w:p>
    <w:p>
      <w:pPr>
        <w:pStyle w:val="ListParagraph"/>
        <w:numPr>
          <w:ilvl w:val="0"/>
          <w:numId w:val="4"/>
        </w:numPr>
      </w:pPr>
      <w:r>
        <w:t xml:space="preserve">Healthcare: DIVISLAB</w:t>
      </w:r>
    </w:p>
    <w:p>
      <w:pPr>
        <w:pStyle w:val="ListParagraph"/>
        <w:numPr>
          <w:ilvl w:val="0"/>
          <w:numId w:val="4"/>
        </w:numPr>
      </w:pPr>
      <w:r>
        <w:t xml:space="preserve">Chemicals: UPL</w:t>
      </w:r>
    </w:p>
    <w:p>
      <w:pPr>
        <w:pStyle w:val="ListParagraph"/>
        <w:numPr>
          <w:ilvl w:val="0"/>
          <w:numId w:val="4"/>
        </w:numPr>
      </w:pPr>
      <w:r>
        <w:t xml:space="preserve">Construction Materials: SHREECEM</w:t>
      </w:r>
    </w:p>
    <w:p>
      <w:pPr>
        <w:pStyle w:val="ListParagraph"/>
        <w:numPr>
          <w:ilvl w:val="0"/>
          <w:numId w:val="4"/>
        </w:numPr>
      </w:pPr>
      <w:r>
        <w:t xml:space="preserve">FMCG: BRITANNIA</w:t>
      </w:r>
    </w:p>
    <w:p>
      <w:pPr>
        <w:pStyle w:val="ListParagraph"/>
        <w:numPr>
          <w:ilvl w:val="0"/>
          <w:numId w:val="4"/>
        </w:numPr>
      </w:pPr>
      <w:r>
        <w:t xml:space="preserve">Auto: HEROMOTOCO</w:t>
      </w:r>
    </w:p>
    <w:p>
      <w:pPr/>
      <w:r>
        <w:t xml:space="preserve">Use one static mapping snapshot for the whole window.</w:t>
      </w:r>
    </w:p>
    <w:p>
      <w:pPr>
        <w:pStyle w:val="Heading2"/>
      </w:pPr>
      <w:r>
        <w:t xml:space="preserve">4. GDELT pipeline</w:t>
      </w:r>
    </w:p>
    <w:p>
      <w:pPr/>
      <w:r>
        <w:t xml:space="preserve">Source: GKG 2.0 on BigQuery for history. The DOC API reaches back only about 3 months, so use it only for sanity checks. GKG records have no dedicated headline field, but the Extras XML should carry a PAGE_TITLE tag. Verify this on a sample day before committing, because FinBERT runs on titles.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5"/>
        </w:numPr>
      </w:pPr>
      <w:r>
        <w:t xml:space="preserve">Alias table (data/raw/aliases.csv): one row per ticker with names, aliases, a blacklist and validity dates. Zomato to Eternal and TATAMOTORS to TMPV are renames. Ambiguous names (HDFC, BSE, Trent, Max, Titan, Eternal) need stricter rules: require the organization in the title, or at least 2 mentions with an early offset. Skip group names such as Tata and Adani entirely.</w:t>
      </w:r>
    </w:p>
    <w:p>
      <w:pPr>
        <w:pStyle w:val="ListParagraph"/>
        <w:numPr>
          <w:ilvl w:val="0"/>
          <w:numId w:val="5"/>
        </w:numPr>
      </w:pPr>
      <w:r>
        <w:t xml:space="preserve">One-pass extraction, materialized into your own dataset so later work does not rescan GDELT (SQL below).</w:t>
      </w:r>
    </w:p>
    <w:p>
      <w:pPr>
        <w:pStyle w:val="ListParagraph"/>
        <w:numPr>
          <w:ilvl w:val="0"/>
          <w:numId w:val="5"/>
        </w:numPr>
      </w:pPr>
      <w:r>
        <w:t xml:space="preserve">Fixed domain whitelist for the whole window: Indian business press plus a few global wires. GDELT's source mix drifts over time, so a fixed list stops coverage changes from looking like sentiment changes.</w:t>
      </w:r>
    </w:p>
    <w:p>
      <w:pPr>
        <w:pStyle w:val="ListParagraph"/>
        <w:numPr>
          <w:ilvl w:val="0"/>
          <w:numId w:val="5"/>
        </w:numPr>
      </w:pPr>
      <w:r>
        <w:t xml:space="preserve">Clean: dedupe by URL, then by normalized title; strip site suffixes from titles; keep native-English records only.</w:t>
      </w:r>
    </w:p>
    <w:p>
      <w:pPr>
        <w:pStyle w:val="ListParagraph"/>
        <w:numPr>
          <w:ilvl w:val="0"/>
          <w:numId w:val="5"/>
        </w:numPr>
      </w:pPr>
      <w:r>
        <w:t xml:space="preserve">Timestamp alignment (the main look-ahead guard, code below).</w:t>
      </w:r>
    </w:p>
    <w:p>
      <w:pPr>
        <w:pStyle w:val="ListParagraph"/>
        <w:numPr>
          <w:ilvl w:val="0"/>
          <w:numId w:val="5"/>
        </w:numPr>
      </w:pPr>
      <w:r>
        <w:t xml:space="preserve">Ticker-day aggregation: article count, mean tone, FinBERT positive/negative/neutral means (scored in the feature step), and dispersion. Days with no news get n_articles = 0 and has_news = 0, never a neutral score. Treating missing coverage as neutral is the likely cause of the first-round null result.</w:t>
      </w:r>
    </w:p>
    <w:p>
      <w:pPr>
        <w:pStyle w:val="ListParagraph"/>
        <w:numPr>
          <w:ilvl w:val="0"/>
          <w:numId w:val="5"/>
        </w:numPr>
      </w:pPr>
      <w:r>
        <w:t xml:space="preserve">Reproducibility: log BigQuery job IDs, the hash of the query text, the extraction date and daily record counts. GDELT has occasional outages and reprocessing.</w:t>
      </w:r>
    </w:p>
    <w:p>
      <w:pPr>
        <w:pStyle w:val="Heading3"/>
      </w:pPr>
      <w:r>
        <w:t xml:space="preserve">Extraction query</w:t>
      </w:r>
    </w:p>
    <w:p>
      <w:pPr>
        <w:pStyle w:val="Code"/>
      </w:pPr>
      <w:bookmarkStart w:id="1" w:name="bongo_lang_sql_1"/>
      <w:bookmarkEnd w:id="1"/>
      <w:r>
        <w:t xml:space="preserve">CREATE OR REPLACE TABLE `PROJECT.finfusion.gkg_india_raw`</w:t>
        <w:br/>
        <w:t xml:space="preserve">PARTITION BY DATE(ts) AS</w:t>
        <w:br/>
        <w:t xml:space="preserve">SELECT</w:t>
        <w:br/>
        <w:t xml:space="preserve">  PARSE_TIMESTAMP('%Y%m%d%H%M%S', CAST(DATE AS STRING)) AS ts,</w:t>
        <w:br/>
        <w:t xml:space="preserve">  DocumentIdentifier AS url,</w:t>
        <w:br/>
        <w:t xml:space="preserve">  SourceCommonName   AS domain,</w:t>
        <w:br/>
        <w:t xml:space="preserve">  REGEXP_EXTRACT(Extras, r'&lt;PAGE_TITLE&gt;(.*?)&lt;/PAGE_TITLE&gt;') AS title,</w:t>
        <w:br/>
        <w:t xml:space="preserve">  V2Organizations, V2Tone, V2Locations</w:t>
        <w:br/>
        <w:t xml:space="preserve">FROM `gdelt-bq.gdeltv2.gkg_partitioned`</w:t>
        <w:br/>
        <w:t xml:space="preserve">WHERE _PARTITIONTIME &gt;= TIMESTAMP('2020-01-01')</w:t>
        <w:br/>
        <w:t xml:space="preserve">  AND _PARTITIONTIME &lt;  TIMESTAMP('2026-10-01')</w:t>
        <w:br/>
        <w:t xml:space="preserve">  AND (SourceCommonName IN UNNEST(@india_domains) OR V2Locations LIKE '%#IN#%')</w:t>
        <w:br/>
        <w:t xml:space="preserve">  AND REGEXP_CONTAINS(LOWER(V2Organizations), @alias_regex);</w:t>
      </w:r>
    </w:p>
    <w:p>
      <w:pPr/>
      <w:r>
        <w:t xml:space="preserve">Dry-run first and set maximum_bytes_billed. Select only the columns needed, since BigQuery bills by columns scanned. Keep the destination dataset in the same region as the public one (believed to be US).</w:t>
      </w:r>
    </w:p>
    <w:p>
      <w:pPr>
        <w:pStyle w:val="Heading3"/>
      </w:pPr>
      <w:r>
        <w:t xml:space="preserve">Timestamp alignment</w:t>
      </w:r>
    </w:p>
    <w:p>
      <w:pPr/>
      <w:r>
        <w:t xml:space="preserve">GDELT timestamps are UTC. Articles after the 15:30 IST close, or on non-trading days, attach to the next trading day. Derive the trading calendar from ^NSEI dates. The label is close(t) to close(t+1), using features known at the close of t.</w:t>
      </w:r>
    </w:p>
    <w:p>
      <w:pPr>
        <w:pStyle w:val="Code"/>
      </w:pPr>
      <w:bookmarkStart w:id="2" w:name="bongo_lang_python_2"/>
      <w:bookmarkEnd w:id="2"/>
      <w:r>
        <w:t xml:space="preserve">ts_ist = ts_utc.dt.tz_convert("Asia/Kolkata")</w:t>
        <w:br/>
        <w:t xml:space="preserve">late = ts_ist.dt.time &gt; time(15, 30)</w:t>
        <w:br/>
        <w:t xml:space="preserve">feat_date = next_trading_day(ts_ist.dt.normalize() + pd.to_timedelta(late.astype(int), "D"))</w:t>
      </w:r>
    </w:p>
    <w:p>
      <w:pPr>
        <w:pStyle w:val="Heading3"/>
      </w:pPr>
      <w:r>
        <w:t xml:space="preserve">Coverage gates and fallback trigger</w:t>
      </w:r>
    </w:p>
    <w:p>
      <w:pPr/>
      <w:r>
        <w:t xml:space="preserve">Decide these before the full run. Run a pilot on three sample months, then compute per ticker: percent of trading days with news, median articles per day, longest gap, and per-year coverage. Fix the cutoffs in writing, for example under 50% of days covered, or any single year under 30%. Tickers that fail get EODHD news. Check EODHD's Indian-ticker coverage and licensing before relying on it. HDFC Ltd is the likeliest early candidate.</w:t>
      </w:r>
    </w:p>
    <w:p>
      <w:pPr>
        <w:pStyle w:val="Heading2"/>
      </w:pPr>
      <w:r>
        <w:t xml:space="preserve">5. Not yet verified</w:t>
      </w:r>
    </w:p>
    <w:p>
      <w:pPr>
        <w:pStyle w:val="ListParagraph"/>
        <w:numPr>
          <w:ilvl w:val="0"/>
          <w:numId w:val="6"/>
        </w:numPr>
      </w:pPr>
      <w:r>
        <w:t xml:space="preserve">The official NSE constituent CSV. The universe was built from Wikipedia plus news reports of the September 2026 change.</w:t>
      </w:r>
    </w:p>
    <w:p>
      <w:pPr>
        <w:pStyle w:val="ListParagraph"/>
        <w:numPr>
          <w:ilvl w:val="0"/>
          <w:numId w:val="6"/>
        </w:numPr>
      </w:pPr>
      <w:r>
        <w:t xml:space="preserve">yfinance history for TMPV.NS, HDFC.NS and ETERNAL.NS.</w:t>
      </w:r>
    </w:p>
    <w:p>
      <w:pPr>
        <w:pStyle w:val="ListParagraph"/>
        <w:numPr>
          <w:ilvl w:val="0"/>
          <w:numId w:val="6"/>
        </w:numPr>
      </w:pPr>
      <w:r>
        <w:t xml:space="preserve">Whether PAGE_TITLE is populated in the Extras field across the whole window.</w:t>
      </w:r>
    </w:p>
    <w:p>
      <w:pPr>
        <w:pStyle w:val="ListParagraph"/>
        <w:numPr>
          <w:ilvl w:val="0"/>
          <w:numId w:val="6"/>
        </w:numPr>
      </w:pPr>
      <w:r>
        <w:t xml:space="preserve">BigQuery bytes billed for the extraction (dry-run needed).</w:t>
      </w:r>
    </w:p>
    <w:p>
      <w:pPr>
        <w:pStyle w:val="Heading2"/>
      </w:pPr>
      <w:r>
        <w:t xml:space="preserve">6. Source links</w:t>
      </w:r>
    </w:p>
    <w:p>
      <w:pPr>
        <w:pStyle w:val="ListParagraph"/>
        <w:numPr>
          <w:ilvl w:val="0"/>
          <w:numId w:val="7"/>
        </w:numPr>
      </w:pPr>
      <w:r>
        <w:t xml:space="preserve">https://en.wikipedia.org/wiki/NIFTY_50</w:t>
      </w:r>
    </w:p>
    <w:p>
      <w:pPr>
        <w:pStyle w:val="ListParagraph"/>
        <w:numPr>
          <w:ilvl w:val="0"/>
          <w:numId w:val="7"/>
        </w:numPr>
      </w:pPr>
      <w:r>
        <w:t xml:space="preserve">https://www.bajajbroking.in/share-market-news/nifty-rejig-bse-replaces-wipro-in-nifty-50</w:t>
      </w:r>
    </w:p>
    <w:p>
      <w:pPr>
        <w:pStyle w:val="ListParagraph"/>
        <w:numPr>
          <w:ilvl w:val="0"/>
          <w:numId w:val="7"/>
        </w:numPr>
      </w:pPr>
      <w:r>
        <w:t xml:space="preserve">https://www.millenniumpost.in/amp/business/bse-to-enter-nifty-50-wipro-to-exit-in-september-rejig-671750</w:t>
      </w:r>
    </w:p>
    <w:p>
      <w:pPr>
        <w:pStyle w:val="ListParagraph"/>
        <w:numPr>
          <w:ilvl w:val="0"/>
          <w:numId w:val="7"/>
        </w:numPr>
      </w:pPr>
      <w:r>
        <w:t xml:space="preserve">https://www.multibagg.ai/feeds/nifty-50-constituents-cmudzbx0k00030agmhstmlm8m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Dataset Design</dc:title>
  <dc:description>Claude Docs node/26435916-4db3@1 docx-w6</dc:description>
  <cp:revision>1</cp:revision>
</cp:coreProperties>
</file>