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Literature &amp; Positioning</w:t>
      </w:r>
    </w:p>
    <w:p>
      <w:pPr/>
      <w:r>
        <w:t xml:space="preserve">FinFusionNet: NIFTY50 sentiment fusion thesis. Step 1: related work review and positioning. Draft of 16 Oct 2026.</w:t>
      </w:r>
    </w:p>
    <w:p>
      <w:pPr>
        <w:pStyle w:val="Heading2"/>
      </w:pPr>
      <w:r>
        <w:t xml:space="preserve">1. Framing note</w:t>
      </w:r>
    </w:p>
    <w:p>
      <w:pPr/>
      <w:r>
        <w:t xml:space="preserve">The first-round null result cannot count as evidence against sentiment. NewsAPI's free tier covers only about 30 days, so most of the 19 months of price history had no sentiment signal. The GDELT rebuild is the first real test, and the thesis should state this explicitly. Naming the coverage confound up front reads as rigor.</w:t>
      </w:r>
    </w:p>
    <w:p>
      <w:pPr>
        <w:pStyle w:val="Heading2"/>
      </w:pPr>
      <w:r>
        <w:t xml:space="preserve">2. The landscape in four clusters</w:t>
      </w:r>
    </w:p>
    <w:p>
      <w:pPr>
        <w:pStyle w:val="Heading3"/>
      </w:pPr>
      <w:r>
        <w:t xml:space="preserve">2.1 FinBERT features fused with technical indicators</w:t>
      </w:r>
    </w:p>
    <w:p>
      <w:pPr>
        <w:pStyle w:val="ListParagraph"/>
        <w:numPr>
          <w:ilvl w:val="0"/>
          <w:numId w:val="2"/>
        </w:numPr>
      </w:pPr>
      <w:r>
        <w:t xml:space="preserve">A Mathematics (MDPI, 2025) study fuses FinBERT headline sentiment with price and volatility features in XGBoost on S&amp;P 500 stocks (2018 to 2023). It reports gains over technical-only and lexicon baselines in AUC, F1 and simulated profitability, and uses SHAP for interpretability.</w:t>
      </w:r>
    </w:p>
    <w:p>
      <w:pPr>
        <w:pStyle w:val="ListParagraph"/>
        <w:numPr>
          <w:ilvl w:val="0"/>
          <w:numId w:val="2"/>
        </w:numPr>
      </w:pPr>
      <w:r>
        <w:t xml:space="preserve">A DJIA preprint (engrXiv 5277) uses the same recipe with FinBERT, EMA, RSI, ATR and lagged volume in XGBoost, and reports perfect classification accuracy. Treat this as a red flag for leakage or a flawed split, not as a benchmark.</w:t>
      </w:r>
    </w:p>
    <w:p>
      <w:pPr>
        <w:pStyle w:val="ListParagraph"/>
        <w:numPr>
          <w:ilvl w:val="0"/>
          <w:numId w:val="2"/>
        </w:numPr>
      </w:pPr>
      <w:r>
        <w:t xml:space="preserve">IKNet (arXiv 2510.07661) extracts keywords with FinBERT and combines them with indicators computed via pandas-ta to predict next-day closing price.</w:t>
      </w:r>
    </w:p>
    <w:p>
      <w:pPr>
        <w:pStyle w:val="ListParagraph"/>
        <w:numPr>
          <w:ilvl w:val="0"/>
          <w:numId w:val="2"/>
        </w:numPr>
      </w:pPr>
      <w:r>
        <w:t xml:space="preserve">FinBERT-LSTM papers (arXiv 2407.16150, arXiv 2211.07392) combine news sentiment with price history and compare against price-only LSTM, MLP and DNN baselines.</w:t>
      </w:r>
    </w:p>
    <w:p>
      <w:pPr>
        <w:pStyle w:val="Heading3"/>
      </w:pPr>
      <w:r>
        <w:t xml:space="preserve">2.2 Cross-attention fusion (closest to our architecture)</w:t>
      </w:r>
    </w:p>
    <w:p>
      <w:pPr>
        <w:pStyle w:val="ListParagraph"/>
        <w:numPr>
          <w:ilvl w:val="0"/>
          <w:numId w:val="3"/>
        </w:numPr>
      </w:pPr>
      <w:r>
        <w:t xml:space="preserve">Tweet2Trend (IEEE SPICSCON 2025) pairs a FinBERT sentiment encoder with a Bi-LSTM over 20-day OHLCV windows and fuses them by cross-attention. It reports 96.42% accuracy on four US stocks.</w:t>
      </w:r>
    </w:p>
    <w:p>
      <w:pPr>
        <w:pStyle w:val="ListParagraph"/>
        <w:numPr>
          <w:ilvl w:val="0"/>
          <w:numId w:val="3"/>
        </w:numPr>
      </w:pPr>
      <w:r>
        <w:t xml:space="preserve">Implication: temporal cross-attention is not a novel architecture claim. The contribution has to be the controlled evaluation.</w:t>
      </w:r>
    </w:p>
    <w:p>
      <w:pPr>
        <w:pStyle w:val="Heading3"/>
      </w:pPr>
      <w:r>
        <w:t xml:space="preserve">2.3 Indian-market work (thin and small-scale)</w:t>
      </w:r>
    </w:p>
    <w:p>
      <w:pPr>
        <w:pStyle w:val="ListParagraph"/>
        <w:numPr>
          <w:ilvl w:val="0"/>
          <w:numId w:val="4"/>
        </w:numPr>
      </w:pPr>
      <w:r>
        <w:t xml:space="preserve">Gupta, George and Chanti: volatility prediction for five Nifty 50 stocks (2020 to 2023) using FinBERT and NLTK sentiment with LSTM variants.</w:t>
      </w:r>
    </w:p>
    <w:p>
      <w:pPr>
        <w:pStyle w:val="ListParagraph"/>
        <w:numPr>
          <w:ilvl w:val="0"/>
          <w:numId w:val="4"/>
        </w:numPr>
      </w:pPr>
      <w:r>
        <w:t xml:space="preserve">Kotekar, Mohan and Kolukuluri (2025): index-level Nifty 50 next-day return-sign prediction with LSTM, GRU, SimpleRNN and TKAN; polarity plus past return signs improves performance.</w:t>
      </w:r>
    </w:p>
    <w:p>
      <w:pPr>
        <w:pStyle w:val="ListParagraph"/>
        <w:numPr>
          <w:ilvl w:val="0"/>
          <w:numId w:val="4"/>
        </w:numPr>
      </w:pPr>
      <w:r>
        <w:t xml:space="preserve">arXiv 2512.20082 (2025): NIFTY 50 headlines from 2024 to 2025 with instruction-tuned LLMs, RAG and market feedback. The target is sentiment classification, not return prediction.</w:t>
      </w:r>
    </w:p>
    <w:p>
      <w:pPr>
        <w:pStyle w:val="ListParagraph"/>
        <w:numPr>
          <w:ilvl w:val="0"/>
          <w:numId w:val="4"/>
        </w:numPr>
      </w:pPr>
      <w:r>
        <w:t xml:space="preserve">Balasubramanian, Christina and Sridevi (2025): FinBERT on long-form news for non-financial Nifty 50 stocks to build a portfolio; stocks were selected from news alone.</w:t>
      </w:r>
    </w:p>
    <w:p>
      <w:pPr>
        <w:pStyle w:val="Heading3"/>
      </w:pPr>
      <w:r>
        <w:t xml:space="preserve">2.4 Skeptical and methodological work</w:t>
      </w:r>
    </w:p>
    <w:p>
      <w:pPr>
        <w:pStyle w:val="ListParagraph"/>
        <w:numPr>
          <w:ilvl w:val="0"/>
          <w:numId w:val="5"/>
        </w:numPr>
      </w:pPr>
      <w:r>
        <w:t xml:space="preserve">arXiv 1712.05785 (Sentiment Predictability for Stocks): LSTM and CNN models overfit easily, earlier strong results were not reproduced, and prediction rates stayed close to 50%.</w:t>
      </w:r>
    </w:p>
    <w:p>
      <w:pPr>
        <w:pStyle w:val="ListParagraph"/>
        <w:numPr>
          <w:ilvl w:val="0"/>
          <w:numId w:val="5"/>
        </w:numPr>
      </w:pPr>
      <w:r>
        <w:t xml:space="preserve">Finance-LLM survey (arXiv 2402.02315): on standard stock-movement benchmarks, zero-shot GPT-4 reaches about 54% accuracy versus about 58% for the best model. The survey argues accuracy is insufficient without Sharpe ratio and backtesting.</w:t>
      </w:r>
    </w:p>
    <w:p>
      <w:pPr>
        <w:pStyle w:val="ListParagraph"/>
        <w:numPr>
          <w:ilvl w:val="0"/>
          <w:numId w:val="5"/>
        </w:numPr>
      </w:pPr>
      <w:r>
        <w:t xml:space="preserve">Kraus and Feuerriegel (arXiv 1710.03954): published results are often not comparable because papers use different filters, report accuracy instead of balanced accuracy, vary the splits, or skip time-series cross-validation.</w:t>
      </w:r>
    </w:p>
    <w:p>
      <w:pPr/>
      <w:r>
        <w:t xml:space="preserve">Foundational works from memory (verify details before citing): Tetlock 2007 (media pessimism and returns), Loughran and McDonald 2011 (finance-specific lexicon), Araci 2019 (FinBERT), Xu and Cohen 2018 (StockNet), Bollen et al. 2011 (Twitter mood).</w:t>
      </w:r>
    </w:p>
    <w:p>
      <w:pPr>
        <w:pStyle w:val="Heading2"/>
      </w:pPr>
      <w:r>
        <w:t xml:space="preserve">3. Positioning against prior work</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Dimension</w:t>
            </w:r>
          </w:p>
        </w:tc>
        <w:tc>
          <w:tcPr>
            <w:tcW w:w="3120" w:type="dxa"/>
            <w:shd w:val="clear" w:color="auto" w:fill="F2F2F2"/>
          </w:tcPr>
          <w:p>
            <w:pPr/>
            <w:r>
              <w:t xml:space="preserve">Typical prior work</w:t>
            </w:r>
          </w:p>
        </w:tc>
        <w:tc>
          <w:tcPr>
            <w:tcW w:w="3120" w:type="dxa"/>
            <w:shd w:val="clear" w:color="auto" w:fill="F2F2F2"/>
          </w:tcPr>
          <w:p>
            <w:pPr/>
            <w:r>
              <w:t xml:space="preserve">This thesis</w:t>
            </w:r>
          </w:p>
        </w:tc>
      </w:tr>
      <w:tr>
        <w:tc>
          <w:tcPr>
            <w:tcW w:w="3120" w:type="dxa"/>
          </w:tcPr>
          <w:p>
            <w:pPr/>
            <w:r>
              <w:t xml:space="preserve">Validation</w:t>
            </w:r>
          </w:p>
        </w:tc>
        <w:tc>
          <w:tcPr>
            <w:tcW w:w="3120" w:type="dxa"/>
          </w:tcPr>
          <w:p>
            <w:pPr/>
            <w:r>
              <w:t xml:space="preserve">Single split, or unspecified</w:t>
            </w:r>
          </w:p>
        </w:tc>
        <w:tc>
          <w:tcPr>
            <w:tcW w:w="3120" w:type="dxa"/>
          </w:tcPr>
          <w:p>
            <w:pPr/>
            <w:r>
              <w:t xml:space="preserve">Walk-forward, 34 folds</w:t>
            </w:r>
          </w:p>
        </w:tc>
      </w:tr>
      <w:tr>
        <w:tc>
          <w:tcPr>
            <w:tcW w:w="3120" w:type="dxa"/>
          </w:tcPr>
          <w:p>
            <w:pPr/>
            <w:r>
              <w:t xml:space="preserve">Comparison</w:t>
            </w:r>
          </w:p>
        </w:tc>
        <w:tc>
          <w:tcPr>
            <w:tcW w:w="3120" w:type="dxa"/>
          </w:tcPr>
          <w:p>
            <w:pPr/>
            <w:r>
              <w:t xml:space="preserve">Fusion model vs. one baseline</w:t>
            </w:r>
          </w:p>
        </w:tc>
        <w:tc>
          <w:tcPr>
            <w:tcW w:w="3120" w:type="dxa"/>
          </w:tcPr>
          <w:p>
            <w:pPr/>
            <w:r>
              <w:t xml:space="preserve">Five-experiment ablation on identical splits</w:t>
            </w:r>
          </w:p>
        </w:tc>
      </w:tr>
      <w:tr>
        <w:tc>
          <w:tcPr>
            <w:tcW w:w="3120" w:type="dxa"/>
          </w:tcPr>
          <w:p>
            <w:pPr/>
            <w:r>
              <w:t xml:space="preserve">Sentiment ladder</w:t>
            </w:r>
          </w:p>
        </w:tc>
        <w:tc>
          <w:tcPr>
            <w:tcW w:w="3120" w:type="dxa"/>
          </w:tcPr>
          <w:p>
            <w:pPr/>
            <w:r>
              <w:t xml:space="preserve">FinBERT alone</w:t>
            </w:r>
          </w:p>
        </w:tc>
        <w:tc>
          <w:tcPr>
            <w:tcW w:w="3120" w:type="dxa"/>
          </w:tcPr>
          <w:p>
            <w:pPr/>
            <w:r>
              <w:t xml:space="preserve">Lexicon+VADER, then FinBERT, then fusion, to localize any gain</w:t>
            </w:r>
          </w:p>
        </w:tc>
      </w:tr>
      <w:tr>
        <w:tc>
          <w:tcPr>
            <w:tcW w:w="3120" w:type="dxa"/>
          </w:tcPr>
          <w:p>
            <w:pPr/>
            <w:r>
              <w:t xml:space="preserve">Evidence standard</w:t>
            </w:r>
          </w:p>
        </w:tc>
        <w:tc>
          <w:tcPr>
            <w:tcW w:w="3120" w:type="dxa"/>
          </w:tcPr>
          <w:p>
            <w:pPr/>
            <w:r>
              <w:t xml:space="preserve">Headline accuracy</w:t>
            </w:r>
          </w:p>
        </w:tc>
        <w:tc>
          <w:tcPr>
            <w:tcW w:w="3120" w:type="dxa"/>
          </w:tcPr>
          <w:p>
            <w:pPr/>
            <w:r>
              <w:t xml:space="preserve">Direction accuracy plus significance testing</w:t>
            </w:r>
          </w:p>
        </w:tc>
      </w:tr>
      <w:tr>
        <w:tc>
          <w:tcPr>
            <w:tcW w:w="3120" w:type="dxa"/>
          </w:tcPr>
          <w:p>
            <w:pPr/>
            <w:r>
              <w:t xml:space="preserve">Market</w:t>
            </w:r>
          </w:p>
        </w:tc>
        <w:tc>
          <w:tcPr>
            <w:tcW w:w="3120" w:type="dxa"/>
          </w:tcPr>
          <w:p>
            <w:pPr/>
            <w:r>
              <w:t xml:space="preserve">US large-caps, or 5 Indian stocks</w:t>
            </w:r>
          </w:p>
        </w:tc>
        <w:tc>
          <w:tcPr>
            <w:tcW w:w="3120" w:type="dxa"/>
          </w:tcPr>
          <w:p>
            <w:pPr/>
            <w:r>
              <w:t xml:space="preserve">NIFTY50 constituents</w:t>
            </w:r>
          </w:p>
        </w:tc>
      </w:tr>
      <w:tr>
        <w:tc>
          <w:tcPr>
            <w:tcW w:w="3120" w:type="dxa"/>
          </w:tcPr>
          <w:p>
            <w:pPr/>
            <w:r>
              <w:t xml:space="preserve">News coverage</w:t>
            </w:r>
          </w:p>
        </w:tc>
        <w:tc>
          <w:tcPr>
            <w:tcW w:w="3120" w:type="dxa"/>
          </w:tcPr>
          <w:p>
            <w:pPr/>
            <w:r>
              <w:t xml:space="preserve">Often unreported</w:t>
            </w:r>
          </w:p>
        </w:tc>
        <w:tc>
          <w:tcPr>
            <w:tcW w:w="3120" w:type="dxa"/>
          </w:tcPr>
          <w:p>
            <w:pPr/>
            <w:r>
              <w:t xml:space="preserve">Full-window GDELT coverage, reported explicitly</w:t>
            </w:r>
          </w:p>
        </w:tc>
      </w:tr>
    </w:tbl>
    <w:p>
      <w:pPr>
        <w:pStyle w:val="Heading3"/>
      </w:pPr>
      <w:r>
        <w:t xml:space="preserve">Positioning statement</w:t>
      </w:r>
    </w:p>
    <w:p>
      <w:pPr/>
      <w:r>
        <w:t xml:space="preserve">Prior studies report large gains from fusing FinBERT sentiment with price features, but typically on single splits, narrow universes, or without a controlled ablation. We test whether FinBERT-derived representations add out-of-sample directional information over price-only baselines on NIFTY50, using walk-forward validation, a sentiment-complexity ladder, and statistical testing.</w:t>
      </w:r>
    </w:p>
    <w:p>
      <w:pPr>
        <w:pStyle w:val="Heading3"/>
      </w:pPr>
      <w:r>
        <w:t xml:space="preserve">Contributions to claim</w:t>
      </w:r>
    </w:p>
    <w:p>
      <w:pPr>
        <w:pStyle w:val="ListParagraph"/>
        <w:numPr>
          <w:ilvl w:val="0"/>
          <w:numId w:val="6"/>
        </w:numPr>
      </w:pPr>
      <w:r>
        <w:t xml:space="preserve">A controlled ablation under identical walk-forward splits.</w:t>
      </w:r>
    </w:p>
    <w:p>
      <w:pPr>
        <w:pStyle w:val="ListParagraph"/>
        <w:numPr>
          <w:ilvl w:val="0"/>
          <w:numId w:val="6"/>
        </w:numPr>
      </w:pPr>
      <w:r>
        <w:t xml:space="preserve">A NIFTY50 evaluation with explicit news-coverage accounting.</w:t>
      </w:r>
    </w:p>
    <w:p>
      <w:pPr>
        <w:pStyle w:val="ListParagraph"/>
        <w:numPr>
          <w:ilvl w:val="0"/>
          <w:numId w:val="6"/>
        </w:numPr>
      </w:pPr>
      <w:r>
        <w:t xml:space="preserve">A transparent report of the result, positive or null, with the limits of the evidence stated.</w:t>
      </w:r>
    </w:p>
    <w:p>
      <w:pPr>
        <w:pStyle w:val="Heading3"/>
      </w:pPr>
      <w:r>
        <w:t xml:space="preserve">Claims to avoid</w:t>
      </w:r>
    </w:p>
    <w:p>
      <w:pPr>
        <w:pStyle w:val="ListParagraph"/>
        <w:numPr>
          <w:ilvl w:val="0"/>
          <w:numId w:val="7"/>
        </w:numPr>
      </w:pPr>
      <w:r>
        <w:t xml:space="preserve">Architectural novelty for the cross-attention module.</w:t>
      </w:r>
    </w:p>
    <w:p>
      <w:pPr>
        <w:pStyle w:val="ListParagraph"/>
        <w:numPr>
          <w:ilvl w:val="0"/>
          <w:numId w:val="7"/>
        </w:numPr>
      </w:pPr>
      <w:r>
        <w:t xml:space="preserve">That sentiment has no effect. Claim only that no effect was detected under this setup, with power and coverage caveats stated.</w:t>
      </w:r>
    </w:p>
    <w:p>
      <w:pPr>
        <w:pStyle w:val="Heading2"/>
      </w:pPr>
      <w:r>
        <w:t xml:space="preserve">4. Draft related-work text (opening)</w:t>
      </w:r>
    </w:p>
    <w:p>
      <w:pPr/>
      <w:r>
        <w:t xml:space="preserve">Research on news-driven stock prediction spans lexicon-based measures of media tone (Tetlock, 2007; Loughran &amp; McDonald, 2011), transformer-based financial sentiment (Araci, 2019), and hybrid models that fuse text-derived features with technical indicators. Recent hybrids pair FinBERT with gradient-boosted trees or recurrent encoders and report improvements over price-only baselines, with some adopting cross-attention fusion. However, reported accuracies vary widely, from near-chance results in careful replications to near-perfect figures in single-split studies, and cross-paper comparison is hindered by inconsistent splits, metrics, and validation protocols (Kraus &amp; Feuerriegel, 2017). Work on the Indian market remains limited to small stock samples, index-level targets, or sentiment-labeling tasks. We address this gap with a controlled ablation on NIFTY50 under walk-forward validation.</w:t>
      </w:r>
    </w:p>
    <w:p>
      <w:pPr>
        <w:pStyle w:val="Heading2"/>
      </w:pPr>
      <w:r>
        <w:t xml:space="preserve">5. Before calling this final</w:t>
      </w:r>
    </w:p>
    <w:p>
      <w:pPr>
        <w:pStyle w:val="ListParagraph"/>
        <w:numPr>
          <w:ilvl w:val="0"/>
          <w:numId w:val="8"/>
        </w:numPr>
      </w:pPr>
      <w:r>
        <w:t xml:space="preserve">Verify every bibliographic detail directly. Several sources are preprints, and the DJIA and Tweet2Trend papers are weakly vetted, so cite them as examples of claim inflation rather than as authorities.</w:t>
      </w:r>
    </w:p>
    <w:p>
      <w:pPr>
        <w:pStyle w:val="ListParagraph"/>
        <w:numPr>
          <w:ilvl w:val="0"/>
          <w:numId w:val="8"/>
        </w:numPr>
      </w:pPr>
      <w:r>
        <w:t xml:space="preserve">Choose the statistical test and write the hypotheses down before the GDELT rerun, to guard against forking-paths criticism.</w:t>
      </w:r>
    </w:p>
    <w:p>
      <w:pPr>
        <w:pStyle w:val="ListParagraph"/>
        <w:numPr>
          <w:ilvl w:val="0"/>
          <w:numId w:val="8"/>
        </w:numPr>
      </w:pPr>
      <w:r>
        <w:t xml:space="preserve">Search once more for NIFTY50 work using GDELT or GKG specifically. If none exists, that is a defensible secondary gap.</w:t>
      </w:r>
    </w:p>
    <w:p>
      <w:pPr>
        <w:pStyle w:val="Heading2"/>
      </w:pPr>
      <w:r>
        <w:t xml:space="preserve">6. Source links</w:t>
      </w:r>
    </w:p>
    <w:p>
      <w:pPr>
        <w:pStyle w:val="ListParagraph"/>
        <w:numPr>
          <w:ilvl w:val="0"/>
          <w:numId w:val="9"/>
        </w:numPr>
      </w:pPr>
      <w:r>
        <w:t xml:space="preserve">https://arxiv.org/pdf/2510.07661</w:t>
      </w:r>
    </w:p>
    <w:p>
      <w:pPr>
        <w:pStyle w:val="ListParagraph"/>
        <w:numPr>
          <w:ilvl w:val="0"/>
          <w:numId w:val="9"/>
        </w:numPr>
      </w:pPr>
      <w:r>
        <w:t xml:space="preserve">https://ideas.repec.org/a/gam/jmathe/v13y2025i17p2747-d1733041.html</w:t>
      </w:r>
    </w:p>
    <w:p>
      <w:pPr>
        <w:pStyle w:val="ListParagraph"/>
        <w:numPr>
          <w:ilvl w:val="0"/>
          <w:numId w:val="9"/>
        </w:numPr>
      </w:pPr>
      <w:r>
        <w:t xml:space="preserve">https://engrxiv.org/preprint/view/5277</w:t>
      </w:r>
    </w:p>
    <w:p>
      <w:pPr>
        <w:pStyle w:val="ListParagraph"/>
        <w:numPr>
          <w:ilvl w:val="0"/>
          <w:numId w:val="9"/>
        </w:numPr>
      </w:pPr>
      <w:r>
        <w:t xml:space="preserve">https://arxiv.org/pdf/2407.16150v1</w:t>
      </w:r>
    </w:p>
    <w:p>
      <w:pPr>
        <w:pStyle w:val="ListParagraph"/>
        <w:numPr>
          <w:ilvl w:val="0"/>
          <w:numId w:val="9"/>
        </w:numPr>
      </w:pPr>
      <w:r>
        <w:t xml:space="preserve">https://arxiv.org/pdf/2211.07392</w:t>
      </w:r>
    </w:p>
    <w:p>
      <w:pPr>
        <w:pStyle w:val="ListParagraph"/>
        <w:numPr>
          <w:ilvl w:val="0"/>
          <w:numId w:val="9"/>
        </w:numPr>
      </w:pPr>
      <w:r>
        <w:t xml:space="preserve">https://research.daffodilvarsity.edu.bd/scopus-article/7694</w:t>
      </w:r>
    </w:p>
    <w:p>
      <w:pPr>
        <w:pStyle w:val="ListParagraph"/>
        <w:numPr>
          <w:ilvl w:val="0"/>
          <w:numId w:val="9"/>
        </w:numPr>
      </w:pPr>
      <w:r>
        <w:t xml:space="preserve">https://archives.christuniversity.in/items/show/27311</w:t>
      </w:r>
    </w:p>
    <w:p>
      <w:pPr>
        <w:pStyle w:val="ListParagraph"/>
        <w:numPr>
          <w:ilvl w:val="0"/>
          <w:numId w:val="9"/>
        </w:numPr>
      </w:pPr>
      <w:r>
        <w:t xml:space="preserve">https://idr.nitk.ac.in/items/98e64904-2b11-49b3-9287-8d13c7e84a7f/full</w:t>
      </w:r>
    </w:p>
    <w:p>
      <w:pPr>
        <w:pStyle w:val="ListParagraph"/>
        <w:numPr>
          <w:ilvl w:val="0"/>
          <w:numId w:val="9"/>
        </w:numPr>
      </w:pPr>
      <w:r>
        <w:t xml:space="preserve">https://arxiv.org/html/2512.20082v1</w:t>
      </w:r>
    </w:p>
    <w:p>
      <w:pPr>
        <w:pStyle w:val="ListParagraph"/>
        <w:numPr>
          <w:ilvl w:val="0"/>
          <w:numId w:val="9"/>
        </w:numPr>
      </w:pPr>
      <w:r>
        <w:t xml:space="preserve">https://ideas.repec.org/a/ids/ijicbm/v34y2025i3p389-407.html</w:t>
      </w:r>
    </w:p>
    <w:p>
      <w:pPr>
        <w:pStyle w:val="ListParagraph"/>
        <w:numPr>
          <w:ilvl w:val="0"/>
          <w:numId w:val="9"/>
        </w:numPr>
      </w:pPr>
      <w:r>
        <w:t xml:space="preserve">https://arxiv.org/pdf/1712.05785</w:t>
      </w:r>
    </w:p>
    <w:p>
      <w:pPr>
        <w:pStyle w:val="ListParagraph"/>
        <w:numPr>
          <w:ilvl w:val="0"/>
          <w:numId w:val="9"/>
        </w:numPr>
      </w:pPr>
      <w:r>
        <w:t xml:space="preserve">https://arxiv.org/pdf/2402.02315</w:t>
      </w:r>
    </w:p>
    <w:p>
      <w:pPr>
        <w:pStyle w:val="ListParagraph"/>
        <w:numPr>
          <w:ilvl w:val="0"/>
          <w:numId w:val="9"/>
        </w:numPr>
      </w:pPr>
      <w:r>
        <w:t xml:space="preserve">https://arxiv.org/pdf/1710.03954</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 w:numId="7">
    <w:abstractNumId w:val="0"/>
  </w:num>
  <w:num w:numId="8">
    <w:abstractNumId w:val="0"/>
  </w:num>
  <w:num w:numId="9">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Literature &amp; Positioning</dc:title>
  <dc:description>Claude Docs node/148b157e-c093@1 docx-w6</dc:description>
  <cp:revision>1</cp:revision>
</cp:coreProperties>
</file>