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0D7A0B" w14:textId="19D5607A" w:rsidR="004A3608" w:rsidRDefault="00084489" w:rsidP="00480F31">
      <w:pPr>
        <w:pStyle w:val="Title"/>
        <w:jc w:val="center"/>
      </w:pPr>
      <w:proofErr w:type="spellStart"/>
      <w:r>
        <w:t>SuSteinable</w:t>
      </w:r>
      <w:proofErr w:type="spellEnd"/>
      <w:r w:rsidR="004A3608">
        <w:t xml:space="preserve"> Impact Fund – </w:t>
      </w:r>
      <w:proofErr w:type="spellStart"/>
      <w:r w:rsidR="004A3608">
        <w:t>SiF</w:t>
      </w:r>
      <w:proofErr w:type="spellEnd"/>
    </w:p>
    <w:p w14:paraId="2E569101" w14:textId="608FFAFB" w:rsidR="004A3608" w:rsidRPr="004A3608" w:rsidRDefault="004A3608" w:rsidP="004A3608">
      <w:pPr>
        <w:pStyle w:val="Heading2"/>
      </w:pPr>
      <w:r w:rsidRPr="004A3608">
        <w:t>Impact Pathway</w:t>
      </w:r>
    </w:p>
    <w:p w14:paraId="5017E032" w14:textId="5B501117" w:rsidR="002D02C9" w:rsidRDefault="004A3608" w:rsidP="00A92A79">
      <w:pPr>
        <w:ind w:firstLine="720"/>
      </w:pPr>
      <w:r>
        <w:t xml:space="preserve">Using our expertise in the </w:t>
      </w:r>
      <w:r w:rsidR="00700B44">
        <w:t>climate</w:t>
      </w:r>
      <w:r>
        <w:t xml:space="preserve"> economy, </w:t>
      </w:r>
      <w:proofErr w:type="spellStart"/>
      <w:r>
        <w:t>SiF</w:t>
      </w:r>
      <w:proofErr w:type="spellEnd"/>
      <w:r>
        <w:t xml:space="preserve"> will focus on renewable agricultural investments</w:t>
      </w:r>
      <w:r w:rsidR="00700B44">
        <w:t xml:space="preserve"> that increase the quality</w:t>
      </w:r>
      <w:r w:rsidR="00464E8B">
        <w:t>, quantity,</w:t>
      </w:r>
      <w:r w:rsidR="00700B44">
        <w:t xml:space="preserve"> and transparency of farm-to-table produc</w:t>
      </w:r>
      <w:r w:rsidR="00E53452">
        <w:t>tion</w:t>
      </w:r>
      <w:r>
        <w:t>, with</w:t>
      </w:r>
      <w:r w:rsidR="00700B44">
        <w:t xml:space="preserve"> the</w:t>
      </w:r>
      <w:r>
        <w:t xml:space="preserve"> maximization of </w:t>
      </w:r>
      <w:r w:rsidR="00A92A79">
        <w:t>positive impact for people and planet</w:t>
      </w:r>
      <w:r>
        <w:t xml:space="preserve"> as </w:t>
      </w:r>
      <w:r w:rsidR="00E53452">
        <w:t>our</w:t>
      </w:r>
      <w:r>
        <w:t xml:space="preserve"> </w:t>
      </w:r>
      <w:r w:rsidR="00E53452">
        <w:t>most mission critical</w:t>
      </w:r>
      <w:r>
        <w:t xml:space="preserve"> criteria for success.</w:t>
      </w:r>
      <w:r w:rsidR="005A6BF0">
        <w:t xml:space="preserve"> </w:t>
      </w:r>
      <w:r w:rsidR="00A92A79">
        <w:t xml:space="preserve">The </w:t>
      </w:r>
      <w:r w:rsidR="00E53452">
        <w:t xml:space="preserve">agricultural sector today is inundated with opportunities to source cheaply from developing countries, with the true cost being borne by local communities and ecosystems. </w:t>
      </w:r>
      <w:r w:rsidR="00A92A79">
        <w:t xml:space="preserve">This phenomenon can also be seen as an opportunity, for example with the cocoa sector, </w:t>
      </w:r>
      <w:r w:rsidR="002F45D8">
        <w:t xml:space="preserve">only 27% of the world’s cocoa production </w:t>
      </w:r>
      <w:r w:rsidR="001B4D1D">
        <w:t>aligned</w:t>
      </w:r>
      <w:r w:rsidR="002F45D8">
        <w:t xml:space="preserve"> with voluntary sustainability standards (VSS), despite </w:t>
      </w:r>
      <w:r w:rsidR="002D02C9">
        <w:t xml:space="preserve">that cocoa </w:t>
      </w:r>
      <w:r w:rsidR="002F45D8">
        <w:t>also being able to sell for 30% greater value on the global market</w:t>
      </w:r>
      <w:r w:rsidR="002F45D8">
        <w:rPr>
          <w:rStyle w:val="FootnoteReference"/>
        </w:rPr>
        <w:footnoteReference w:id="1"/>
      </w:r>
      <w:r w:rsidR="002F45D8">
        <w:t>.</w:t>
      </w:r>
    </w:p>
    <w:p w14:paraId="0BCE5AFE" w14:textId="753F66DD" w:rsidR="004A3608" w:rsidRDefault="002D02C9" w:rsidP="00464E8B">
      <w:pPr>
        <w:ind w:firstLine="720"/>
      </w:pPr>
      <w:r>
        <w:t>Investments in th</w:t>
      </w:r>
      <w:r w:rsidR="00464E8B">
        <w:t xml:space="preserve">e </w:t>
      </w:r>
      <w:r>
        <w:t xml:space="preserve">agricultural </w:t>
      </w:r>
      <w:r w:rsidR="00464E8B">
        <w:t>have the</w:t>
      </w:r>
      <w:r>
        <w:t xml:space="preserve"> potential to transform the </w:t>
      </w:r>
      <w:r w:rsidR="00464E8B">
        <w:t xml:space="preserve">local farmer livelihood, concentrating benefits locally and magnifying impact upwards throughout the supply chain. By concentrating renewable agricultural investments on the ground level </w:t>
      </w:r>
      <w:proofErr w:type="spellStart"/>
      <w:r w:rsidR="00464E8B">
        <w:t>SiF</w:t>
      </w:r>
      <w:proofErr w:type="spellEnd"/>
      <w:r w:rsidR="00464E8B">
        <w:t xml:space="preserve"> will be able to buffer against the pressure on farmers to deforest more land and avoid exploitative land use practices that impact the entire ecosystem.</w:t>
      </w:r>
    </w:p>
    <w:p w14:paraId="7D84E8E5" w14:textId="2BDCFD3A" w:rsidR="004A3608" w:rsidRDefault="004A3608" w:rsidP="004A3608">
      <w:pPr>
        <w:pStyle w:val="Heading2"/>
      </w:pPr>
      <w:r>
        <w:t>Impact Measurement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2695"/>
        <w:gridCol w:w="3870"/>
        <w:gridCol w:w="3240"/>
      </w:tblGrid>
      <w:tr w:rsidR="009D3343" w14:paraId="69CCA68A" w14:textId="77777777" w:rsidTr="001B4D1D">
        <w:tc>
          <w:tcPr>
            <w:tcW w:w="2695" w:type="dxa"/>
          </w:tcPr>
          <w:p w14:paraId="4DB752E3" w14:textId="2CD7202D" w:rsidR="009D3343" w:rsidRPr="00E25526" w:rsidRDefault="009D3343" w:rsidP="00464E8B">
            <w:pPr>
              <w:rPr>
                <w:b/>
                <w:bCs/>
              </w:rPr>
            </w:pPr>
            <w:r>
              <w:rPr>
                <w:b/>
                <w:bCs/>
              </w:rPr>
              <w:t>Impact Type</w:t>
            </w:r>
          </w:p>
        </w:tc>
        <w:tc>
          <w:tcPr>
            <w:tcW w:w="3870" w:type="dxa"/>
          </w:tcPr>
          <w:p w14:paraId="7AA0A919" w14:textId="467651C9" w:rsidR="009D3343" w:rsidRPr="00E25526" w:rsidRDefault="009D3343" w:rsidP="00464E8B">
            <w:pPr>
              <w:rPr>
                <w:b/>
                <w:bCs/>
              </w:rPr>
            </w:pPr>
            <w:r w:rsidRPr="00E25526">
              <w:rPr>
                <w:b/>
                <w:bCs/>
              </w:rPr>
              <w:t>IRIS+ Metric</w:t>
            </w:r>
          </w:p>
        </w:tc>
        <w:tc>
          <w:tcPr>
            <w:tcW w:w="3240" w:type="dxa"/>
          </w:tcPr>
          <w:p w14:paraId="00842D5B" w14:textId="5845CEA3" w:rsidR="009D3343" w:rsidRPr="00E25526" w:rsidRDefault="009D3343" w:rsidP="00464E8B">
            <w:pPr>
              <w:rPr>
                <w:b/>
                <w:bCs/>
              </w:rPr>
            </w:pPr>
            <w:r w:rsidRPr="00E25526">
              <w:rPr>
                <w:b/>
                <w:bCs/>
              </w:rPr>
              <w:t>Reasoning for Selection</w:t>
            </w:r>
          </w:p>
        </w:tc>
      </w:tr>
      <w:tr w:rsidR="009D3343" w14:paraId="419084F5" w14:textId="77777777" w:rsidTr="001B4D1D">
        <w:tc>
          <w:tcPr>
            <w:tcW w:w="2695" w:type="dxa"/>
          </w:tcPr>
          <w:p w14:paraId="6B1DFBF6" w14:textId="1BF6C9F5" w:rsidR="009D3343" w:rsidRDefault="009D3343" w:rsidP="00E25526">
            <w:r>
              <w:t>Biodiversity, Land, Climate Health (SDG15)</w:t>
            </w:r>
          </w:p>
        </w:tc>
        <w:tc>
          <w:tcPr>
            <w:tcW w:w="3870" w:type="dxa"/>
          </w:tcPr>
          <w:p w14:paraId="602CE528" w14:textId="069C189F" w:rsidR="009D3343" w:rsidRDefault="009D3343" w:rsidP="00E25526">
            <w:pPr>
              <w:jc w:val="center"/>
            </w:pPr>
            <w:r>
              <w:t>Area of Land Reforested, Forest Management Plan, Ecological Restoration Management Area (</w:t>
            </w:r>
            <w:hyperlink r:id="rId7" w:history="1">
              <w:r>
                <w:rPr>
                  <w:rStyle w:val="Hyperlink"/>
                </w:rPr>
                <w:t>PI4907</w:t>
              </w:r>
            </w:hyperlink>
            <w:r>
              <w:t xml:space="preserve">, </w:t>
            </w:r>
            <w:hyperlink r:id="rId8" w:history="1">
              <w:r w:rsidRPr="009D3343">
                <w:rPr>
                  <w:rStyle w:val="Hyperlink"/>
                </w:rPr>
                <w:t>OI2622</w:t>
              </w:r>
            </w:hyperlink>
            <w:r>
              <w:t xml:space="preserve">, </w:t>
            </w:r>
            <w:hyperlink r:id="rId9" w:history="1">
              <w:r w:rsidRPr="009D3343">
                <w:rPr>
                  <w:rStyle w:val="Hyperlink"/>
                </w:rPr>
                <w:t>PI9556</w:t>
              </w:r>
            </w:hyperlink>
            <w:r>
              <w:t>)</w:t>
            </w:r>
          </w:p>
        </w:tc>
        <w:tc>
          <w:tcPr>
            <w:tcW w:w="3240" w:type="dxa"/>
          </w:tcPr>
          <w:p w14:paraId="3560119D" w14:textId="54786DD4" w:rsidR="009D3343" w:rsidRDefault="009D3343" w:rsidP="00E25526">
            <w:pPr>
              <w:jc w:val="center"/>
            </w:pPr>
            <w:r>
              <w:t>Relevant to product, easy to measure, underscores additionality</w:t>
            </w:r>
          </w:p>
        </w:tc>
      </w:tr>
      <w:tr w:rsidR="009D3343" w14:paraId="5F16BF0D" w14:textId="77777777" w:rsidTr="001B4D1D">
        <w:tc>
          <w:tcPr>
            <w:tcW w:w="2695" w:type="dxa"/>
          </w:tcPr>
          <w:p w14:paraId="257788CD" w14:textId="7581C984" w:rsidR="009D3343" w:rsidRDefault="009D3343" w:rsidP="00E25526">
            <w:pPr>
              <w:jc w:val="center"/>
            </w:pPr>
            <w:r>
              <w:t>Agriculture, Dignified Employment</w:t>
            </w:r>
          </w:p>
          <w:p w14:paraId="60498B6F" w14:textId="72363AB8" w:rsidR="009D3343" w:rsidRDefault="009D3343" w:rsidP="00E25526">
            <w:pPr>
              <w:jc w:val="center"/>
            </w:pPr>
            <w:r>
              <w:t>(SDG 8, 10, 12)</w:t>
            </w:r>
          </w:p>
        </w:tc>
        <w:tc>
          <w:tcPr>
            <w:tcW w:w="3870" w:type="dxa"/>
          </w:tcPr>
          <w:p w14:paraId="73FDB8D8" w14:textId="41D9A88F" w:rsidR="009D3343" w:rsidRDefault="009D3343" w:rsidP="00E25526">
            <w:pPr>
              <w:jc w:val="center"/>
            </w:pPr>
            <w:r w:rsidRPr="00E25526">
              <w:t>Average Client</w:t>
            </w:r>
            <w:r>
              <w:t>, Supplier</w:t>
            </w:r>
            <w:r w:rsidRPr="00E25526">
              <w:t xml:space="preserve"> Agriculture Yield: Smallholder (</w:t>
            </w:r>
            <w:hyperlink r:id="rId10" w:history="1">
              <w:r w:rsidRPr="00E25526">
                <w:rPr>
                  <w:rStyle w:val="Hyperlink"/>
                </w:rPr>
                <w:t>PI9421</w:t>
              </w:r>
            </w:hyperlink>
            <w:r>
              <w:t xml:space="preserve">, </w:t>
            </w:r>
            <w:hyperlink r:id="rId11" w:history="1">
              <w:r w:rsidRPr="00480F31">
                <w:rPr>
                  <w:rStyle w:val="Hyperlink"/>
                </w:rPr>
                <w:t>PI1405</w:t>
              </w:r>
            </w:hyperlink>
            <w:r>
              <w:t xml:space="preserve"> combined</w:t>
            </w:r>
            <w:r w:rsidRPr="00E25526">
              <w:t>)</w:t>
            </w:r>
          </w:p>
        </w:tc>
        <w:tc>
          <w:tcPr>
            <w:tcW w:w="3240" w:type="dxa"/>
          </w:tcPr>
          <w:p w14:paraId="67A925A9" w14:textId="5A2C81BE" w:rsidR="009D3343" w:rsidRDefault="009D3343" w:rsidP="00E25526">
            <w:pPr>
              <w:jc w:val="center"/>
            </w:pPr>
            <w:r>
              <w:t>Relevant to mission of elevating local communities, measurable with standard business practices, helps assess baseline vs. additionality</w:t>
            </w:r>
          </w:p>
        </w:tc>
      </w:tr>
      <w:tr w:rsidR="009D3343" w14:paraId="77C448AE" w14:textId="77777777" w:rsidTr="001B4D1D">
        <w:tc>
          <w:tcPr>
            <w:tcW w:w="2695" w:type="dxa"/>
          </w:tcPr>
          <w:p w14:paraId="1CA256F9" w14:textId="3360C712" w:rsidR="009D3343" w:rsidRDefault="009D3343" w:rsidP="00B15D18">
            <w:pPr>
              <w:jc w:val="center"/>
            </w:pPr>
            <w:r>
              <w:t>Water Supply, Water Quality, Ecosystem Management</w:t>
            </w:r>
          </w:p>
          <w:p w14:paraId="14AF1ACB" w14:textId="6B2C8BFA" w:rsidR="009D3343" w:rsidRDefault="009D3343" w:rsidP="00B15D18">
            <w:pPr>
              <w:jc w:val="center"/>
            </w:pPr>
            <w:r>
              <w:t>(SDG 6, 15)</w:t>
            </w:r>
          </w:p>
        </w:tc>
        <w:tc>
          <w:tcPr>
            <w:tcW w:w="3870" w:type="dxa"/>
          </w:tcPr>
          <w:p w14:paraId="4915943E" w14:textId="2D2617F2" w:rsidR="009D3343" w:rsidRDefault="009D3343" w:rsidP="00480F31">
            <w:pPr>
              <w:jc w:val="center"/>
            </w:pPr>
            <w:r w:rsidRPr="009D3343">
              <w:t>Climate Resilient Water Management Practices</w:t>
            </w:r>
            <w:r>
              <w:t>, Level of Water Stress, Climate Vulnerability Status</w:t>
            </w:r>
            <w:r w:rsidRPr="009D3343">
              <w:t xml:space="preserve"> (</w:t>
            </w:r>
            <w:hyperlink r:id="rId12" w:history="1">
              <w:r w:rsidRPr="009D3343">
                <w:rPr>
                  <w:rStyle w:val="Hyperlink"/>
                </w:rPr>
                <w:t>OI2340</w:t>
              </w:r>
            </w:hyperlink>
            <w:r>
              <w:t xml:space="preserve">, </w:t>
            </w:r>
            <w:hyperlink r:id="rId13" w:history="1">
              <w:r>
                <w:rPr>
                  <w:rStyle w:val="Hyperlink"/>
                </w:rPr>
                <w:t>OI2799</w:t>
              </w:r>
            </w:hyperlink>
            <w:r>
              <w:t xml:space="preserve">, </w:t>
            </w:r>
            <w:hyperlink r:id="rId14" w:history="1">
              <w:r>
                <w:rPr>
                  <w:rStyle w:val="Hyperlink"/>
                </w:rPr>
                <w:t>PI1002</w:t>
              </w:r>
            </w:hyperlink>
            <w:r w:rsidRPr="009D3343">
              <w:t>)</w:t>
            </w:r>
          </w:p>
        </w:tc>
        <w:tc>
          <w:tcPr>
            <w:tcW w:w="3240" w:type="dxa"/>
          </w:tcPr>
          <w:p w14:paraId="5BE4E8D0" w14:textId="4BDFC1AF" w:rsidR="009D3343" w:rsidRPr="009D3343" w:rsidRDefault="009D3343" w:rsidP="00480F3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i.e. are our efforts not creating additional harm? Water is one of the easier ways to measure this</w:t>
            </w:r>
          </w:p>
        </w:tc>
      </w:tr>
      <w:tr w:rsidR="009D3343" w14:paraId="2F1E1E9B" w14:textId="77777777" w:rsidTr="001B4D1D">
        <w:tc>
          <w:tcPr>
            <w:tcW w:w="2695" w:type="dxa"/>
          </w:tcPr>
          <w:p w14:paraId="45C425D9" w14:textId="6865048C" w:rsidR="009D3343" w:rsidRDefault="009D3343" w:rsidP="00480F31">
            <w:pPr>
              <w:jc w:val="center"/>
            </w:pPr>
            <w:r>
              <w:t>Emissions Reductions, Responsible Consumption (SDG 13, 12)</w:t>
            </w:r>
          </w:p>
        </w:tc>
        <w:tc>
          <w:tcPr>
            <w:tcW w:w="3870" w:type="dxa"/>
          </w:tcPr>
          <w:p w14:paraId="6746D265" w14:textId="6617E111" w:rsidR="009D3343" w:rsidRDefault="009D3343" w:rsidP="00480F31">
            <w:pPr>
              <w:jc w:val="center"/>
            </w:pPr>
            <w:r w:rsidRPr="009D3343">
              <w:t>Greenhouse Gas Emissions of Product Replaced</w:t>
            </w:r>
            <w:r>
              <w:t>, Percent Recycled Materials</w:t>
            </w:r>
            <w:r w:rsidRPr="009D3343">
              <w:t xml:space="preserve"> (</w:t>
            </w:r>
            <w:hyperlink r:id="rId15" w:history="1">
              <w:r w:rsidRPr="009D3343">
                <w:rPr>
                  <w:rStyle w:val="Hyperlink"/>
                </w:rPr>
                <w:t>PD2243</w:t>
              </w:r>
            </w:hyperlink>
            <w:r>
              <w:t xml:space="preserve">, </w:t>
            </w:r>
            <w:hyperlink r:id="rId16" w:history="1">
              <w:r w:rsidRPr="009D3343">
                <w:rPr>
                  <w:rStyle w:val="Hyperlink"/>
                </w:rPr>
                <w:t>PD9364</w:t>
              </w:r>
            </w:hyperlink>
            <w:r w:rsidRPr="009D3343">
              <w:t>)</w:t>
            </w:r>
          </w:p>
        </w:tc>
        <w:tc>
          <w:tcPr>
            <w:tcW w:w="3240" w:type="dxa"/>
          </w:tcPr>
          <w:p w14:paraId="23026D0C" w14:textId="2C0A0F62" w:rsidR="009D3343" w:rsidRPr="009D3343" w:rsidRDefault="009D3343" w:rsidP="00480F3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i.e. is our product </w:t>
            </w:r>
            <w:proofErr w:type="gramStart"/>
            <w:r>
              <w:rPr>
                <w:i/>
                <w:iCs/>
              </w:rPr>
              <w:t>actually reducing</w:t>
            </w:r>
            <w:proofErr w:type="gramEnd"/>
            <w:r>
              <w:rPr>
                <w:i/>
                <w:iCs/>
              </w:rPr>
              <w:t xml:space="preserve"> emissions? </w:t>
            </w:r>
          </w:p>
        </w:tc>
      </w:tr>
      <w:tr w:rsidR="009D3343" w14:paraId="293EFB93" w14:textId="77777777" w:rsidTr="001B4D1D">
        <w:tc>
          <w:tcPr>
            <w:tcW w:w="2695" w:type="dxa"/>
          </w:tcPr>
          <w:p w14:paraId="06AC3CD4" w14:textId="266BE5BA" w:rsidR="009D3343" w:rsidRDefault="009D3343" w:rsidP="00480F31">
            <w:pPr>
              <w:jc w:val="center"/>
            </w:pPr>
            <w:r>
              <w:lastRenderedPageBreak/>
              <w:t>Decent Work, Reducing Inequalities (SDG 8,10)</w:t>
            </w:r>
          </w:p>
        </w:tc>
        <w:tc>
          <w:tcPr>
            <w:tcW w:w="3870" w:type="dxa"/>
          </w:tcPr>
          <w:p w14:paraId="627238F1" w14:textId="275D200E" w:rsidR="009D3343" w:rsidRDefault="009D3343" w:rsidP="009D3343">
            <w:pPr>
              <w:jc w:val="center"/>
            </w:pPr>
            <w:r>
              <w:t>EBITDA, Earnings of Distributor Individuals</w:t>
            </w:r>
          </w:p>
          <w:p w14:paraId="3D426B96" w14:textId="3CEA7F69" w:rsidR="009D3343" w:rsidRDefault="009D3343" w:rsidP="009D3343">
            <w:pPr>
              <w:jc w:val="center"/>
            </w:pPr>
            <w:r>
              <w:t>(</w:t>
            </w:r>
            <w:hyperlink r:id="rId17" w:history="1">
              <w:r w:rsidRPr="009D3343">
                <w:rPr>
                  <w:rStyle w:val="Hyperlink"/>
                </w:rPr>
                <w:t>FP1657</w:t>
              </w:r>
            </w:hyperlink>
            <w:r>
              <w:t xml:space="preserve">, </w:t>
            </w:r>
            <w:hyperlink r:id="rId18" w:history="1">
              <w:r w:rsidRPr="009D3343">
                <w:rPr>
                  <w:rStyle w:val="Hyperlink"/>
                </w:rPr>
                <w:t>PI4881</w:t>
              </w:r>
            </w:hyperlink>
            <w:r>
              <w:t>)</w:t>
            </w:r>
          </w:p>
        </w:tc>
        <w:tc>
          <w:tcPr>
            <w:tcW w:w="3240" w:type="dxa"/>
          </w:tcPr>
          <w:p w14:paraId="38261D4E" w14:textId="54EFEAF4" w:rsidR="009D3343" w:rsidRDefault="009D3343" w:rsidP="00480F31">
            <w:pPr>
              <w:jc w:val="center"/>
            </w:pPr>
            <w:r>
              <w:t xml:space="preserve">Because if we track </w:t>
            </w:r>
            <w:r>
              <w:t xml:space="preserve">distributor </w:t>
            </w:r>
            <w:proofErr w:type="gramStart"/>
            <w:r>
              <w:t>sales</w:t>
            </w:r>
            <w:proofErr w:type="gramEnd"/>
            <w:r>
              <w:t xml:space="preserve"> we can understand </w:t>
            </w:r>
            <w:r>
              <w:t>transparency in profit</w:t>
            </w:r>
            <w:r>
              <w:t xml:space="preserve"> sharing</w:t>
            </w:r>
          </w:p>
        </w:tc>
      </w:tr>
      <w:tr w:rsidR="009D3343" w14:paraId="40E6DB46" w14:textId="77777777" w:rsidTr="001B4D1D">
        <w:tc>
          <w:tcPr>
            <w:tcW w:w="2695" w:type="dxa"/>
          </w:tcPr>
          <w:p w14:paraId="2114CD2F" w14:textId="0E9EC2C0" w:rsidR="009D3343" w:rsidRDefault="009D3343" w:rsidP="00480F31">
            <w:pPr>
              <w:jc w:val="center"/>
            </w:pPr>
            <w:r>
              <w:t>Poverty Alleviation, Decent Work, Reducing Inequalities (SDG 1,8,10)</w:t>
            </w:r>
          </w:p>
        </w:tc>
        <w:tc>
          <w:tcPr>
            <w:tcW w:w="3870" w:type="dxa"/>
          </w:tcPr>
          <w:p w14:paraId="36103ED2" w14:textId="730AEC36" w:rsidR="009D3343" w:rsidRDefault="009D3343" w:rsidP="009D3343">
            <w:pPr>
              <w:jc w:val="center"/>
            </w:pPr>
            <w:r>
              <w:t xml:space="preserve">Client Income, </w:t>
            </w:r>
            <w:r w:rsidRPr="009D3343">
              <w:t>Indigenous Rights and Stewardship Practices</w:t>
            </w:r>
            <w:r>
              <w:t xml:space="preserve">, Microfinance Delivery Method </w:t>
            </w:r>
            <w:r w:rsidRPr="009D3343">
              <w:t>(</w:t>
            </w:r>
            <w:hyperlink r:id="rId19" w:history="1">
              <w:r w:rsidRPr="009D3343">
                <w:rPr>
                  <w:rStyle w:val="Hyperlink"/>
                </w:rPr>
                <w:t>PI9409</w:t>
              </w:r>
            </w:hyperlink>
            <w:r>
              <w:t xml:space="preserve">, </w:t>
            </w:r>
            <w:r w:rsidRPr="009D3343">
              <w:t>OI6482</w:t>
            </w:r>
            <w:r>
              <w:t xml:space="preserve">, </w:t>
            </w:r>
            <w:hyperlink r:id="rId20" w:history="1">
              <w:r w:rsidRPr="009D3343">
                <w:rPr>
                  <w:rStyle w:val="Hyperlink"/>
                </w:rPr>
                <w:t>PD7356</w:t>
              </w:r>
            </w:hyperlink>
            <w:r w:rsidRPr="009D3343">
              <w:t>)</w:t>
            </w:r>
          </w:p>
        </w:tc>
        <w:tc>
          <w:tcPr>
            <w:tcW w:w="3240" w:type="dxa"/>
          </w:tcPr>
          <w:p w14:paraId="2846D85B" w14:textId="68A54073" w:rsidR="009D3343" w:rsidRPr="009D3343" w:rsidRDefault="009D3343" w:rsidP="00480F31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i.e. are we doing right by the local community?</w:t>
            </w:r>
          </w:p>
        </w:tc>
      </w:tr>
    </w:tbl>
    <w:p w14:paraId="49923978" w14:textId="472082E6" w:rsidR="0092442E" w:rsidRDefault="0092442E" w:rsidP="0092442E">
      <w:pPr>
        <w:pStyle w:val="Heading2"/>
      </w:pPr>
      <w:r>
        <w:t>Geography</w:t>
      </w:r>
    </w:p>
    <w:p w14:paraId="4AD21377" w14:textId="33BE6B08" w:rsidR="0092442E" w:rsidRPr="001B4D1D" w:rsidRDefault="00A92A79" w:rsidP="0092442E">
      <w:r>
        <w:t xml:space="preserve">This fund will target investment in developing countries with high agricultural production, particularly in products like cocoa and coffee that are grown only under certain climatic conditions. Beginning with Ghana, </w:t>
      </w:r>
      <w:r w:rsidRPr="00A92A79">
        <w:t>Côte d'Ivoire</w:t>
      </w:r>
      <w:r>
        <w:t>, Togo, and Benin in Western Africa, this fund aims to expand in future years as our pilot programs progress.</w:t>
      </w:r>
    </w:p>
    <w:p w14:paraId="7B5949A7" w14:textId="2790EB4F" w:rsidR="0092442E" w:rsidRDefault="0092442E" w:rsidP="0092442E">
      <w:pPr>
        <w:pStyle w:val="Heading2"/>
      </w:pPr>
      <w:r>
        <w:t>Asset Class</w:t>
      </w:r>
    </w:p>
    <w:p w14:paraId="58887442" w14:textId="3A42E7AB" w:rsidR="0092442E" w:rsidRPr="001B4D1D" w:rsidRDefault="00A92A79" w:rsidP="0092442E">
      <w:r>
        <w:t>This fund will work with private equities in our target countries for two key reasons: first, private equity investments in Africa tend to be smaller, community-rooted corporations, thus aligning our asset class with our community impact targets; second, the public equity sector is simply not robust enough in our target countries at this time.</w:t>
      </w:r>
    </w:p>
    <w:p w14:paraId="29023666" w14:textId="0AF50CFD" w:rsidR="0092442E" w:rsidRDefault="0092442E" w:rsidP="0092442E">
      <w:pPr>
        <w:pStyle w:val="Heading2"/>
      </w:pPr>
      <w:r>
        <w:t>Investment Type</w:t>
      </w:r>
    </w:p>
    <w:p w14:paraId="2F85545D" w14:textId="3E85EF78" w:rsidR="0092442E" w:rsidRPr="001B4D1D" w:rsidRDefault="00A92A79" w:rsidP="004A3608">
      <w:pPr>
        <w:rPr>
          <w:i/>
          <w:iCs/>
        </w:rPr>
      </w:pPr>
      <w:r>
        <w:t xml:space="preserve">This fund will be directly investing in companies that improve and implement renewable agricultural practices, </w:t>
      </w:r>
      <w:r w:rsidR="001B4D1D">
        <w:t>which given the nature of the landscape of Africa, where ~70% of land is held by smallholder farmers</w:t>
      </w:r>
      <w:r w:rsidR="001B4D1D">
        <w:rPr>
          <w:rStyle w:val="FootnoteReference"/>
        </w:rPr>
        <w:footnoteReference w:id="2"/>
      </w:r>
      <w:r w:rsidR="001B4D1D">
        <w:t>, this direct investment will be dispersed indirectly through these local corporations and agricultural cooperatives.</w:t>
      </w:r>
    </w:p>
    <w:p w14:paraId="5520CCDC" w14:textId="2DB623B6" w:rsidR="0092442E" w:rsidRDefault="0092442E" w:rsidP="0092442E">
      <w:pPr>
        <w:pStyle w:val="Heading2"/>
      </w:pPr>
      <w:r>
        <w:t>Financial Performance</w:t>
      </w:r>
    </w:p>
    <w:p w14:paraId="3C6A4D35" w14:textId="6D702D4F" w:rsidR="0092442E" w:rsidRPr="001B4D1D" w:rsidRDefault="001B4D1D" w:rsidP="004A3608">
      <w:pPr>
        <w:rPr>
          <w:i/>
          <w:iCs/>
        </w:rPr>
      </w:pPr>
      <w:r>
        <w:t xml:space="preserve">We anticipate below market returns for the early years of the fund, especially with tree-based agricultural production, where it may take 3-5 years for harvests to begin, however the </w:t>
      </w:r>
      <w:proofErr w:type="gramStart"/>
      <w:r>
        <w:t>long term</w:t>
      </w:r>
      <w:proofErr w:type="gramEnd"/>
      <w:r>
        <w:t xml:space="preserve"> financial performance is anticipated to match global market rate </w:t>
      </w:r>
      <w:proofErr w:type="spellStart"/>
      <w:r>
        <w:t>retuns</w:t>
      </w:r>
      <w:proofErr w:type="spellEnd"/>
      <w:r>
        <w:t>.</w:t>
      </w:r>
    </w:p>
    <w:p w14:paraId="5C4D80A9" w14:textId="32D6C9F3" w:rsidR="0092442E" w:rsidRDefault="0092442E" w:rsidP="0092442E">
      <w:pPr>
        <w:pStyle w:val="Heading2"/>
      </w:pPr>
      <w:r>
        <w:t>Investor Base</w:t>
      </w:r>
    </w:p>
    <w:p w14:paraId="33BFB347" w14:textId="61B016DB" w:rsidR="0092442E" w:rsidRPr="001B4D1D" w:rsidRDefault="001B4D1D" w:rsidP="004A3608">
      <w:pPr>
        <w:rPr>
          <w:i/>
          <w:iCs/>
        </w:rPr>
      </w:pPr>
      <w:r>
        <w:t xml:space="preserve">This fund aims to target Foundations for contributions since they have a long-range return window and would accept a modest degree of financial loss. Additionally, Corporations active in the ag sector, such as </w:t>
      </w:r>
      <w:proofErr w:type="spellStart"/>
      <w:r>
        <w:t>Nestlè</w:t>
      </w:r>
      <w:proofErr w:type="spellEnd"/>
      <w:r>
        <w:t xml:space="preserve">, could be investors as these improved supply chains and renewable agricultural products stand to improve their own business models and partnership could supplement their Scope 3 emissions reduction </w:t>
      </w:r>
      <w:r>
        <w:lastRenderedPageBreak/>
        <w:t xml:space="preserve">efforts, however they currently suffer from a lack of trusted partners in many of the </w:t>
      </w:r>
      <w:proofErr w:type="gramStart"/>
      <w:r>
        <w:t>aforementioned target</w:t>
      </w:r>
      <w:proofErr w:type="gramEnd"/>
      <w:r>
        <w:t xml:space="preserve"> countries.</w:t>
      </w:r>
    </w:p>
    <w:sectPr w:rsidR="0092442E" w:rsidRPr="001B4D1D" w:rsidSect="00480F31">
      <w:headerReference w:type="default" r:id="rId21"/>
      <w:pgSz w:w="12240" w:h="15840"/>
      <w:pgMar w:top="1152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3E083B" w14:textId="77777777" w:rsidR="00D07B73" w:rsidRDefault="00D07B73" w:rsidP="00E53452">
      <w:r>
        <w:separator/>
      </w:r>
    </w:p>
  </w:endnote>
  <w:endnote w:type="continuationSeparator" w:id="0">
    <w:p w14:paraId="15821F22" w14:textId="77777777" w:rsidR="00D07B73" w:rsidRDefault="00D07B73" w:rsidP="00E534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B0E4257" w14:textId="77777777" w:rsidR="00D07B73" w:rsidRDefault="00D07B73" w:rsidP="00E53452">
      <w:r>
        <w:separator/>
      </w:r>
    </w:p>
  </w:footnote>
  <w:footnote w:type="continuationSeparator" w:id="0">
    <w:p w14:paraId="6EA76A22" w14:textId="77777777" w:rsidR="00D07B73" w:rsidRDefault="00D07B73" w:rsidP="00E53452">
      <w:r>
        <w:continuationSeparator/>
      </w:r>
    </w:p>
  </w:footnote>
  <w:footnote w:id="1">
    <w:p w14:paraId="53610C21" w14:textId="77777777" w:rsidR="002F45D8" w:rsidRPr="002F45D8" w:rsidRDefault="002F45D8" w:rsidP="002F45D8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2F45D8">
        <w:t xml:space="preserve">Bermudez, </w:t>
      </w:r>
      <w:proofErr w:type="spellStart"/>
      <w:r w:rsidRPr="002F45D8">
        <w:t>Steffany</w:t>
      </w:r>
      <w:proofErr w:type="spellEnd"/>
      <w:r w:rsidRPr="002F45D8">
        <w:t xml:space="preserve">, Vivek </w:t>
      </w:r>
      <w:proofErr w:type="spellStart"/>
      <w:r w:rsidRPr="002F45D8">
        <w:t>Voora</w:t>
      </w:r>
      <w:proofErr w:type="spellEnd"/>
      <w:r w:rsidRPr="002F45D8">
        <w:t xml:space="preserve">, Cristina Larrea, and Erika Luna. 2022. “Global Market Report: Cocoa Prices and Sustainability.” Global Market Report. </w:t>
      </w:r>
      <w:hyperlink r:id="rId1" w:history="1">
        <w:r w:rsidRPr="002F45D8">
          <w:rPr>
            <w:rStyle w:val="Hyperlink"/>
          </w:rPr>
          <w:t>https://www.iisd.org/system/files/2022-11/2022-global-market-report-cocoa.pdf</w:t>
        </w:r>
      </w:hyperlink>
      <w:r w:rsidRPr="002F45D8">
        <w:t>.</w:t>
      </w:r>
    </w:p>
    <w:p w14:paraId="3ADB3D9A" w14:textId="4D1B37B6" w:rsidR="002F45D8" w:rsidRDefault="002F45D8">
      <w:pPr>
        <w:pStyle w:val="FootnoteText"/>
      </w:pPr>
    </w:p>
  </w:footnote>
  <w:footnote w:id="2">
    <w:p w14:paraId="3604E98C" w14:textId="77777777" w:rsidR="001B4D1D" w:rsidRPr="001B4D1D" w:rsidRDefault="001B4D1D" w:rsidP="001B4D1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1B4D1D">
        <w:t xml:space="preserve">Nyoni, Rejoice S., Guillaume </w:t>
      </w:r>
      <w:proofErr w:type="spellStart"/>
      <w:r w:rsidRPr="001B4D1D">
        <w:t>Bruelle</w:t>
      </w:r>
      <w:proofErr w:type="spellEnd"/>
      <w:r w:rsidRPr="001B4D1D">
        <w:t xml:space="preserve">, Regis </w:t>
      </w:r>
      <w:proofErr w:type="spellStart"/>
      <w:r w:rsidRPr="001B4D1D">
        <w:t>Chikowo</w:t>
      </w:r>
      <w:proofErr w:type="spellEnd"/>
      <w:r w:rsidRPr="001B4D1D">
        <w:t xml:space="preserve">, and Nadine </w:t>
      </w:r>
      <w:proofErr w:type="spellStart"/>
      <w:r w:rsidRPr="001B4D1D">
        <w:t>Andrieu</w:t>
      </w:r>
      <w:proofErr w:type="spellEnd"/>
      <w:r w:rsidRPr="001B4D1D">
        <w:t xml:space="preserve">. 2024. “Targeting Smallholder Farmers for Climate Information Services Adoption in Africa: A Systematic Literature Review.” </w:t>
      </w:r>
      <w:r w:rsidRPr="001B4D1D">
        <w:rPr>
          <w:i/>
          <w:iCs/>
        </w:rPr>
        <w:t>Climate Services</w:t>
      </w:r>
      <w:r w:rsidRPr="001B4D1D">
        <w:t xml:space="preserve"> 34 (April):100450. </w:t>
      </w:r>
      <w:hyperlink r:id="rId2" w:history="1">
        <w:r w:rsidRPr="001B4D1D">
          <w:rPr>
            <w:rStyle w:val="Hyperlink"/>
          </w:rPr>
          <w:t>https://doi.org/10.1016/j.cliser.2024.100450</w:t>
        </w:r>
      </w:hyperlink>
      <w:r w:rsidRPr="001B4D1D">
        <w:t>.</w:t>
      </w:r>
    </w:p>
    <w:p w14:paraId="28D1C7C7" w14:textId="758078A5" w:rsidR="001B4D1D" w:rsidRDefault="001B4D1D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22C40B" w14:textId="38F0ABDB" w:rsidR="00E53452" w:rsidRDefault="00E53452">
    <w:pPr>
      <w:pStyle w:val="Header"/>
    </w:pPr>
    <w:r>
      <w:rPr>
        <w:noProof/>
      </w:rPr>
      <w:drawing>
        <wp:inline distT="0" distB="0" distL="0" distR="0" wp14:anchorId="03FDD365" wp14:editId="66F91DFB">
          <wp:extent cx="555514" cy="669010"/>
          <wp:effectExtent l="0" t="0" r="3810" b="4445"/>
          <wp:docPr id="1352293231" name="Picture 1" descr="A logo with a tree and letter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2293231" name="Picture 1" descr="A logo with a tree and letters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076" t="2439" r="17978" b="19346"/>
                  <a:stretch/>
                </pic:blipFill>
                <pic:spPr bwMode="auto">
                  <a:xfrm>
                    <a:off x="0" y="0"/>
                    <a:ext cx="559808" cy="6741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DA"/>
    <w:rsid w:val="00084489"/>
    <w:rsid w:val="000E4BDA"/>
    <w:rsid w:val="001610FF"/>
    <w:rsid w:val="001B4D1D"/>
    <w:rsid w:val="002D02C9"/>
    <w:rsid w:val="002F45D8"/>
    <w:rsid w:val="00464E8B"/>
    <w:rsid w:val="00480F31"/>
    <w:rsid w:val="004A3608"/>
    <w:rsid w:val="00573A88"/>
    <w:rsid w:val="005A6BF0"/>
    <w:rsid w:val="00627F63"/>
    <w:rsid w:val="00650ED3"/>
    <w:rsid w:val="00700B44"/>
    <w:rsid w:val="008D7208"/>
    <w:rsid w:val="0092442E"/>
    <w:rsid w:val="009D3343"/>
    <w:rsid w:val="00A92A79"/>
    <w:rsid w:val="00B15D18"/>
    <w:rsid w:val="00BC0747"/>
    <w:rsid w:val="00D07B73"/>
    <w:rsid w:val="00E25526"/>
    <w:rsid w:val="00E53452"/>
    <w:rsid w:val="00F0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628EE4"/>
  <w15:chartTrackingRefBased/>
  <w15:docId w15:val="{E07886D6-B07A-0740-8B3C-909FFBC7D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7208"/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B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3608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0B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BD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BD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BD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BD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BD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BD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7208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208"/>
    <w:rPr>
      <w:rFonts w:ascii="Georgia" w:eastAsiaTheme="majorEastAsia" w:hAnsi="Georg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208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8D7208"/>
    <w:rPr>
      <w:rFonts w:ascii="Georgia" w:eastAsiaTheme="minorEastAsia" w:hAnsi="Georgia"/>
      <w:color w:val="5A5A5A" w:themeColor="text1" w:themeTint="A5"/>
      <w:spacing w:val="15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0E4B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A3608"/>
    <w:rPr>
      <w:rFonts w:ascii="Georgia" w:eastAsiaTheme="majorEastAsia" w:hAnsi="Georg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00B44"/>
    <w:rPr>
      <w:rFonts w:ascii="Georgia" w:eastAsiaTheme="majorEastAsia" w:hAnsi="Georg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B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B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B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B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B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BDA"/>
    <w:rPr>
      <w:rFonts w:eastAsiaTheme="majorEastAsia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0E4BD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4BDA"/>
    <w:rPr>
      <w:rFonts w:ascii="Georgia" w:hAnsi="Georgi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4B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4B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B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BDA"/>
    <w:rPr>
      <w:rFonts w:ascii="Georgia" w:hAnsi="Georgi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4BD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5345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452"/>
    <w:rPr>
      <w:rFonts w:ascii="Georgia" w:hAnsi="Georgia"/>
    </w:rPr>
  </w:style>
  <w:style w:type="paragraph" w:styleId="Footer">
    <w:name w:val="footer"/>
    <w:basedOn w:val="Normal"/>
    <w:link w:val="FooterChar"/>
    <w:uiPriority w:val="99"/>
    <w:unhideWhenUsed/>
    <w:rsid w:val="00E5345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452"/>
    <w:rPr>
      <w:rFonts w:ascii="Georgia" w:hAnsi="Georgia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45D8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45D8"/>
    <w:rPr>
      <w:rFonts w:ascii="Georgia" w:hAnsi="Georg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F45D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2F45D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5D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64E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81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97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4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5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8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684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9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87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83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4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0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7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74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2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59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50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1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ris.thegiin.org/metric/5.3a/oi2622/" TargetMode="External"/><Relationship Id="rId13" Type="http://schemas.openxmlformats.org/officeDocument/2006/relationships/hyperlink" Target="https://iris.thegiin.org/metric/5.3a/oi2799/" TargetMode="External"/><Relationship Id="rId18" Type="http://schemas.openxmlformats.org/officeDocument/2006/relationships/hyperlink" Target="https://iris.thegiin.org/metric/5.3a/pi4881/" TargetMode="Externa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iris.thegiin.org/metric/5.3a/pi4907/" TargetMode="External"/><Relationship Id="rId12" Type="http://schemas.openxmlformats.org/officeDocument/2006/relationships/hyperlink" Target="https://iris.thegiin.org/metric/5.3a/oi2340/" TargetMode="External"/><Relationship Id="rId17" Type="http://schemas.openxmlformats.org/officeDocument/2006/relationships/hyperlink" Target="https://iris.thegiin.org/metric/5.3a/fp1657/" TargetMode="External"/><Relationship Id="rId2" Type="http://schemas.openxmlformats.org/officeDocument/2006/relationships/styles" Target="styles.xml"/><Relationship Id="rId16" Type="http://schemas.openxmlformats.org/officeDocument/2006/relationships/hyperlink" Target="https://iris.thegiin.org/metric/5.3a/pd9364/" TargetMode="External"/><Relationship Id="rId20" Type="http://schemas.openxmlformats.org/officeDocument/2006/relationships/hyperlink" Target="https://iris.thegiin.org/metric/5.3a/pd7356/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iris.thegiin.org/metric/5.3a/pi1405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iris.thegiin.org/metric/5.3a/pd2243/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ris.thegiin.org/metric/5.3a/pi9421/" TargetMode="External"/><Relationship Id="rId19" Type="http://schemas.openxmlformats.org/officeDocument/2006/relationships/hyperlink" Target="https://iris.thegiin.org/metric/5.3a/pi9409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ris.thegiin.org/metric/5.3a/pi9556/" TargetMode="External"/><Relationship Id="rId14" Type="http://schemas.openxmlformats.org/officeDocument/2006/relationships/hyperlink" Target="https://iris.thegiin.org/metric/5.3a/pi1002/" TargetMode="External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doi.org/10.1016/j.cliser.2024.100450" TargetMode="External"/><Relationship Id="rId1" Type="http://schemas.openxmlformats.org/officeDocument/2006/relationships/hyperlink" Target="https://www.iisd.org/system/files/2022-11/2022-global-market-report-cocoa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704E9FE-FB4D-BA42-BAD3-8E35E168F0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3</Pages>
  <Words>805</Words>
  <Characters>4593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Neil Stein</dc:creator>
  <cp:keywords/>
  <dc:description/>
  <cp:lastModifiedBy>Neil Stein</cp:lastModifiedBy>
  <cp:revision>3</cp:revision>
  <dcterms:created xsi:type="dcterms:W3CDTF">2025-02-24T01:04:00Z</dcterms:created>
  <dcterms:modified xsi:type="dcterms:W3CDTF">2025-02-24T23:19:00Z</dcterms:modified>
</cp:coreProperties>
</file>