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A4492" w14:textId="68ADEA65" w:rsidR="00627F63" w:rsidRPr="00850190" w:rsidRDefault="00850190" w:rsidP="00850190">
      <w:pPr>
        <w:pStyle w:val="Title"/>
        <w:jc w:val="center"/>
      </w:pPr>
      <w:r w:rsidRPr="00850190">
        <w:t>ESG Presentation – Notes</w:t>
      </w:r>
    </w:p>
    <w:p w14:paraId="4DD37616" w14:textId="6EDC3388" w:rsidR="00850190" w:rsidRPr="00850190" w:rsidRDefault="00850190" w:rsidP="00850190">
      <w:pPr>
        <w:pStyle w:val="Heading2"/>
        <w:rPr>
          <w:rFonts w:ascii="Georgia" w:hAnsi="Georgia"/>
          <w:i/>
          <w:iCs/>
        </w:rPr>
      </w:pPr>
      <w:r w:rsidRPr="00850190">
        <w:rPr>
          <w:rFonts w:ascii="Georgia" w:hAnsi="Georgia"/>
          <w:i/>
          <w:iCs/>
        </w:rPr>
        <w:t>Proposed Asset Allocation</w:t>
      </w:r>
    </w:p>
    <w:p w14:paraId="13A9B063" w14:textId="77777777" w:rsidR="00850190" w:rsidRPr="00850190" w:rsidRDefault="00850190" w:rsidP="00850190">
      <w:r w:rsidRPr="00850190">
        <w:t>Yale Asset Allocation for reference (last public disclosure):</w:t>
      </w:r>
    </w:p>
    <w:p w14:paraId="6FE0747E" w14:textId="77777777" w:rsidR="00850190" w:rsidRPr="00850190" w:rsidRDefault="00850190" w:rsidP="00850190"/>
    <w:p w14:paraId="10E1FE43" w14:textId="77777777" w:rsidR="00850190" w:rsidRPr="00850190" w:rsidRDefault="00850190" w:rsidP="00850190">
      <w:r w:rsidRPr="00850190">
        <w:t>31% -- Private Equity w/EQT</w:t>
      </w:r>
    </w:p>
    <w:p w14:paraId="48E406D0" w14:textId="77777777" w:rsidR="00850190" w:rsidRPr="00850190" w:rsidRDefault="00850190" w:rsidP="00850190">
      <w:r w:rsidRPr="00850190">
        <w:t>54% -- Vanguard ETF (Global Equities)</w:t>
      </w:r>
    </w:p>
    <w:p w14:paraId="6EE6356C" w14:textId="77777777" w:rsidR="00850190" w:rsidRPr="00850190" w:rsidRDefault="00850190" w:rsidP="00850190">
      <w:r w:rsidRPr="00850190">
        <w:t>~15% -- VC</w:t>
      </w:r>
    </w:p>
    <w:p w14:paraId="109C649A" w14:textId="77777777" w:rsidR="00850190" w:rsidRPr="00850190" w:rsidRDefault="00850190" w:rsidP="00850190"/>
    <w:p w14:paraId="5ACC1EDE" w14:textId="77777777" w:rsidR="00850190" w:rsidRPr="00850190" w:rsidRDefault="00850190" w:rsidP="00850190">
      <w:r w:rsidRPr="00850190">
        <w:t>UChicago wants to have a strong TRIP fund (Total Return Investment Pool).</w:t>
      </w:r>
    </w:p>
    <w:p w14:paraId="63C909F5" w14:textId="77777777" w:rsidR="00850190" w:rsidRPr="00850190" w:rsidRDefault="00850190" w:rsidP="00850190"/>
    <w:p w14:paraId="3791F435" w14:textId="0E97CFE9" w:rsidR="00850190" w:rsidRPr="00850190" w:rsidRDefault="00850190" w:rsidP="00850190">
      <w:r w:rsidRPr="00850190">
        <w:t>The investment objective of TRIP is to achieve a return consistent with a level of risk that is appropriate for the University and the Medical Center, providing a high liquidity fund to support the university in times of financial crisis. Case study for this came in COVID, where UChicago racked up nearly $200 million in unpaid medical debt. The University of Chicago Medicine provided $567.1 million in benefits and services to the South Side community in FY2020.</w:t>
      </w:r>
    </w:p>
    <w:p w14:paraId="77C74E84" w14:textId="46DADAEC" w:rsidR="00850190" w:rsidRPr="00850190" w:rsidRDefault="00850190" w:rsidP="00850190">
      <w:pPr>
        <w:pStyle w:val="Heading3"/>
        <w:rPr>
          <w:rFonts w:ascii="Georgia" w:hAnsi="Georgia"/>
          <w:i/>
          <w:iCs/>
        </w:rPr>
      </w:pPr>
      <w:r w:rsidRPr="00850190">
        <w:rPr>
          <w:rFonts w:ascii="Georgia" w:hAnsi="Georgia"/>
          <w:i/>
          <w:iCs/>
        </w:rPr>
        <w:t>Asset Classes Breakdown</w:t>
      </w:r>
    </w:p>
    <w:p w14:paraId="012D2055" w14:textId="2E232F0B" w:rsidR="00850190" w:rsidRPr="00850190" w:rsidRDefault="00850190" w:rsidP="00850190">
      <w:r w:rsidRPr="00850190">
        <w:t>Hedge Funds give us a way to balance risk and find new opportunities that match our ESG goals.</w:t>
      </w:r>
    </w:p>
    <w:p w14:paraId="17405ED5" w14:textId="384CB6CE" w:rsidR="00850190" w:rsidRPr="00850190" w:rsidRDefault="00850190" w:rsidP="00850190">
      <w:pPr>
        <w:pStyle w:val="Heading2"/>
        <w:rPr>
          <w:rFonts w:ascii="Georgia" w:hAnsi="Georgia"/>
          <w:i/>
          <w:iCs/>
        </w:rPr>
      </w:pPr>
      <w:r w:rsidRPr="00850190">
        <w:rPr>
          <w:rFonts w:ascii="Georgia" w:hAnsi="Georgia"/>
          <w:i/>
          <w:iCs/>
        </w:rPr>
        <w:t>Selected Managers and Asset Classes:  Global Equities</w:t>
      </w:r>
    </w:p>
    <w:p w14:paraId="373AA2D2" w14:textId="5575AF5E" w:rsidR="00850190" w:rsidRPr="00850190" w:rsidRDefault="00850190" w:rsidP="00850190">
      <w:pPr>
        <w:pStyle w:val="ListParagraph"/>
        <w:numPr>
          <w:ilvl w:val="0"/>
          <w:numId w:val="1"/>
        </w:numPr>
      </w:pPr>
      <w:r w:rsidRPr="00850190">
        <w:t>Assets under management (AUM) is the market value of the investments managed by a person or entity on behalf of clients.</w:t>
      </w:r>
    </w:p>
    <w:p w14:paraId="5F85168C" w14:textId="1ED59D71" w:rsidR="00850190" w:rsidRPr="00850190" w:rsidRDefault="00850190" w:rsidP="00850190">
      <w:pPr>
        <w:pStyle w:val="ListParagraph"/>
        <w:numPr>
          <w:ilvl w:val="0"/>
          <w:numId w:val="1"/>
        </w:numPr>
      </w:pPr>
      <w:r w:rsidRPr="00850190">
        <w:t>"</w:t>
      </w:r>
      <w:proofErr w:type="gramStart"/>
      <w:r w:rsidRPr="00850190">
        <w:t>global</w:t>
      </w:r>
      <w:proofErr w:type="gramEnd"/>
      <w:r w:rsidRPr="00850190">
        <w:t xml:space="preserve"> equity" refers to investments made in stocks of companies worldwide with the intention of generating measurable impact alongside financial returns</w:t>
      </w:r>
    </w:p>
    <w:p w14:paraId="0FBEE4E9" w14:textId="4278248B" w:rsidR="00850190" w:rsidRPr="00850190" w:rsidRDefault="00850190" w:rsidP="00850190">
      <w:pPr>
        <w:pStyle w:val="ListParagraph"/>
        <w:numPr>
          <w:ilvl w:val="0"/>
          <w:numId w:val="1"/>
        </w:numPr>
      </w:pPr>
      <w:r w:rsidRPr="00850190">
        <w:t xml:space="preserve">Climate Risk </w:t>
      </w:r>
      <w:r w:rsidRPr="00850190">
        <w:t>Management</w:t>
      </w:r>
      <w:r w:rsidRPr="00850190">
        <w:t>: Engaging with companies to improve their climate risk management, Shifting investments towards renewable energy and climate solutions</w:t>
      </w:r>
    </w:p>
    <w:p w14:paraId="29606F46" w14:textId="680831EC" w:rsidR="00850190" w:rsidRPr="00850190" w:rsidRDefault="00850190" w:rsidP="00850190">
      <w:pPr>
        <w:pStyle w:val="ListParagraph"/>
        <w:numPr>
          <w:ilvl w:val="0"/>
          <w:numId w:val="1"/>
        </w:numPr>
      </w:pPr>
      <w:r w:rsidRPr="00850190">
        <w:t>Global Reporting Initiative (GRI) an international independent standards organization that helps organizations understand and communicate their impacts on issues such as climate change, human rights, and corruption.</w:t>
      </w:r>
    </w:p>
    <w:p w14:paraId="7399A5D8" w14:textId="1D700A1F" w:rsidR="00850190" w:rsidRPr="00850190" w:rsidRDefault="00850190" w:rsidP="00850190">
      <w:pPr>
        <w:pStyle w:val="ListParagraph"/>
        <w:numPr>
          <w:ilvl w:val="0"/>
          <w:numId w:val="1"/>
        </w:numPr>
      </w:pPr>
      <w:r w:rsidRPr="00850190">
        <w:t>IRIS+ is a system for impact measurement and management in impact investing</w:t>
      </w:r>
    </w:p>
    <w:p w14:paraId="687C525E" w14:textId="4F304733" w:rsidR="00850190" w:rsidRPr="00850190" w:rsidRDefault="00850190" w:rsidP="00850190">
      <w:pPr>
        <w:pStyle w:val="ListParagraph"/>
        <w:numPr>
          <w:ilvl w:val="0"/>
          <w:numId w:val="1"/>
        </w:numPr>
      </w:pPr>
      <w:r w:rsidRPr="00850190">
        <w:t xml:space="preserve">MSCI is best known for its stock market indexes and its ESG </w:t>
      </w:r>
    </w:p>
    <w:p w14:paraId="0470C694" w14:textId="6332BE24" w:rsidR="00850190" w:rsidRPr="00850190" w:rsidRDefault="00850190" w:rsidP="00850190">
      <w:pPr>
        <w:pStyle w:val="ListParagraph"/>
        <w:numPr>
          <w:ilvl w:val="0"/>
          <w:numId w:val="1"/>
        </w:numPr>
      </w:pPr>
      <w:r w:rsidRPr="00850190">
        <w:t xml:space="preserve">Sustainable Finance Disclosure Regulation (SFDR) is a European Union regulation </w:t>
      </w:r>
    </w:p>
    <w:p w14:paraId="757EDADA" w14:textId="41581CDF" w:rsidR="00850190" w:rsidRPr="00850190" w:rsidRDefault="00850190" w:rsidP="00850190">
      <w:pPr>
        <w:pStyle w:val="ListParagraph"/>
        <w:numPr>
          <w:ilvl w:val="0"/>
          <w:numId w:val="1"/>
        </w:numPr>
      </w:pPr>
      <w:r w:rsidRPr="00850190">
        <w:t>Performance Risk:</w:t>
      </w:r>
      <w:r w:rsidRPr="00850190">
        <w:t xml:space="preserve"> </w:t>
      </w:r>
      <w:r w:rsidRPr="00850190">
        <w:t xml:space="preserve">This refers to the possibility that impact investments may not achieve their intended financial returns. </w:t>
      </w:r>
    </w:p>
    <w:p w14:paraId="1E9EDB27" w14:textId="301C1B82" w:rsidR="00850190" w:rsidRPr="00850190" w:rsidRDefault="00850190" w:rsidP="00850190">
      <w:pPr>
        <w:pStyle w:val="ListParagraph"/>
        <w:numPr>
          <w:ilvl w:val="0"/>
          <w:numId w:val="1"/>
        </w:numPr>
      </w:pPr>
      <w:r w:rsidRPr="00850190">
        <w:t>ESG Integration Depth:</w:t>
      </w:r>
      <w:r w:rsidRPr="00850190">
        <w:t xml:space="preserve"> </w:t>
      </w:r>
      <w:r w:rsidRPr="00850190">
        <w:t xml:space="preserve">Shallow integration may lead to greenwashing </w:t>
      </w:r>
    </w:p>
    <w:p w14:paraId="6E0A1F10" w14:textId="77777777" w:rsidR="00850190" w:rsidRPr="00850190" w:rsidRDefault="00850190" w:rsidP="00850190"/>
    <w:p w14:paraId="64CB6D0A" w14:textId="6C85CA81" w:rsidR="00850190" w:rsidRPr="00850190" w:rsidRDefault="00850190" w:rsidP="00850190">
      <w:pPr>
        <w:pStyle w:val="Heading2"/>
        <w:rPr>
          <w:rFonts w:ascii="Georgia" w:hAnsi="Georgia"/>
          <w:i/>
          <w:iCs/>
        </w:rPr>
      </w:pPr>
      <w:r w:rsidRPr="00850190">
        <w:rPr>
          <w:rFonts w:ascii="Georgia" w:hAnsi="Georgia"/>
          <w:i/>
          <w:iCs/>
        </w:rPr>
        <w:lastRenderedPageBreak/>
        <w:t>Selected Managers and Asset Classes:  Hedge Funds</w:t>
      </w:r>
    </w:p>
    <w:p w14:paraId="19747674" w14:textId="2502F6A7" w:rsidR="00850190" w:rsidRPr="00850190" w:rsidRDefault="00850190" w:rsidP="00850190">
      <w:pPr>
        <w:pStyle w:val="ListParagraph"/>
        <w:numPr>
          <w:ilvl w:val="0"/>
          <w:numId w:val="2"/>
        </w:numPr>
      </w:pPr>
      <w:r w:rsidRPr="00850190">
        <w:t xml:space="preserve">Hedge funds are investment pools that use advanced strategies to make money, often taking more risks than regular mutual funds. </w:t>
      </w:r>
    </w:p>
    <w:p w14:paraId="23F10800" w14:textId="77777777" w:rsidR="00850190" w:rsidRPr="00850190" w:rsidRDefault="00850190" w:rsidP="00850190"/>
    <w:p w14:paraId="70CCA2E4" w14:textId="1E9F724C" w:rsidR="00850190" w:rsidRPr="00850190" w:rsidRDefault="00850190" w:rsidP="00850190">
      <w:pPr>
        <w:pStyle w:val="ListParagraph"/>
        <w:numPr>
          <w:ilvl w:val="0"/>
          <w:numId w:val="2"/>
        </w:numPr>
      </w:pPr>
      <w:r w:rsidRPr="00850190">
        <w:t xml:space="preserve">Model </w:t>
      </w:r>
      <w:proofErr w:type="gramStart"/>
      <w:r w:rsidRPr="00850190">
        <w:t>Risk:</w:t>
      </w:r>
      <w:proofErr w:type="gramEnd"/>
      <w:r w:rsidRPr="00850190">
        <w:t xml:space="preserve"> </w:t>
      </w:r>
      <w:r w:rsidRPr="00850190">
        <w:t>occurs when financial models used to measure market risks or value transactions fail or perform inadequately7.</w:t>
      </w:r>
    </w:p>
    <w:p w14:paraId="7591FC30" w14:textId="77777777" w:rsidR="00850190" w:rsidRPr="00850190" w:rsidRDefault="00850190" w:rsidP="00850190"/>
    <w:p w14:paraId="4F4A27AE" w14:textId="12042A80" w:rsidR="00850190" w:rsidRPr="00850190" w:rsidRDefault="00850190" w:rsidP="00850190">
      <w:pPr>
        <w:pStyle w:val="ListParagraph"/>
        <w:numPr>
          <w:ilvl w:val="0"/>
          <w:numId w:val="2"/>
        </w:numPr>
      </w:pPr>
      <w:r w:rsidRPr="00850190">
        <w:t>Technological Disruptions:</w:t>
      </w:r>
      <w:r w:rsidRPr="00850190">
        <w:t xml:space="preserve"> </w:t>
      </w:r>
      <w:r w:rsidRPr="00850190">
        <w:t>This risk involves the potential for rapid technological changes to affect investment opportunities and portfolio companies</w:t>
      </w:r>
    </w:p>
    <w:p w14:paraId="7C3656E1" w14:textId="4A6CFD1E" w:rsidR="00850190" w:rsidRPr="00850190" w:rsidRDefault="00850190" w:rsidP="00850190">
      <w:pPr>
        <w:pStyle w:val="Heading2"/>
        <w:rPr>
          <w:rFonts w:ascii="Georgia" w:hAnsi="Georgia"/>
          <w:i/>
          <w:iCs/>
        </w:rPr>
      </w:pPr>
      <w:r w:rsidRPr="00850190">
        <w:rPr>
          <w:rFonts w:ascii="Georgia" w:hAnsi="Georgia"/>
          <w:i/>
          <w:iCs/>
        </w:rPr>
        <w:t>Selected Managers and Asset Classes:  PE Buyouts</w:t>
      </w:r>
    </w:p>
    <w:p w14:paraId="3FC9AED5" w14:textId="77777777" w:rsidR="00850190" w:rsidRPr="00850190" w:rsidRDefault="00850190" w:rsidP="00850190">
      <w:pPr>
        <w:pStyle w:val="ListParagraph"/>
        <w:numPr>
          <w:ilvl w:val="0"/>
          <w:numId w:val="3"/>
        </w:numPr>
      </w:pPr>
      <w:r w:rsidRPr="00850190">
        <w:t>Private equity buyouts involve acquiring a controlling stake (&gt;50%) in a company</w:t>
      </w:r>
    </w:p>
    <w:p w14:paraId="3744E903" w14:textId="77777777" w:rsidR="00850190" w:rsidRPr="00850190" w:rsidRDefault="00850190" w:rsidP="00850190">
      <w:pPr>
        <w:pStyle w:val="ListParagraph"/>
        <w:numPr>
          <w:ilvl w:val="0"/>
          <w:numId w:val="3"/>
        </w:numPr>
      </w:pPr>
      <w:r w:rsidRPr="00850190">
        <w:t xml:space="preserve">Market Fluctuations: Short-term changes in asset prices due to various economic, political, or social factors. </w:t>
      </w:r>
    </w:p>
    <w:p w14:paraId="15E933EE" w14:textId="69ABE471" w:rsidR="00850190" w:rsidRPr="00850190" w:rsidRDefault="00850190" w:rsidP="00850190">
      <w:pPr>
        <w:pStyle w:val="ListParagraph"/>
        <w:numPr>
          <w:ilvl w:val="0"/>
          <w:numId w:val="3"/>
        </w:numPr>
      </w:pPr>
      <w:r w:rsidRPr="00850190">
        <w:t>Regulatory Compliance Risks: Potential legal and financial consequences arising from failure to adhere to laws, regulations</w:t>
      </w:r>
    </w:p>
    <w:sectPr w:rsidR="00850190" w:rsidRPr="0085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2002B"/>
    <w:multiLevelType w:val="hybridMultilevel"/>
    <w:tmpl w:val="25C4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50B8C"/>
    <w:multiLevelType w:val="hybridMultilevel"/>
    <w:tmpl w:val="46C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24E6"/>
    <w:multiLevelType w:val="hybridMultilevel"/>
    <w:tmpl w:val="8436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77868">
    <w:abstractNumId w:val="1"/>
  </w:num>
  <w:num w:numId="2" w16cid:durableId="589314505">
    <w:abstractNumId w:val="0"/>
  </w:num>
  <w:num w:numId="3" w16cid:durableId="1887714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90"/>
    <w:rsid w:val="001610FF"/>
    <w:rsid w:val="00627F63"/>
    <w:rsid w:val="00850190"/>
    <w:rsid w:val="008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6036A"/>
  <w15:chartTrackingRefBased/>
  <w15:docId w15:val="{AB376CEA-A500-9E46-B927-B0C680AF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208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1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20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08"/>
    <w:rPr>
      <w:rFonts w:ascii="Georgia" w:eastAsiaTheme="majorEastAsia" w:hAnsi="Georg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20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208"/>
    <w:rPr>
      <w:rFonts w:ascii="Georgia" w:eastAsiaTheme="minorEastAsia" w:hAnsi="Georg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5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90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501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90"/>
    <w:rPr>
      <w:rFonts w:ascii="Georgia" w:hAnsi="Georg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90"/>
    <w:rPr>
      <w:rFonts w:ascii="Georgia" w:hAnsi="Georg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Stein</dc:creator>
  <cp:keywords/>
  <dc:description/>
  <cp:lastModifiedBy>Neil Stein</cp:lastModifiedBy>
  <cp:revision>1</cp:revision>
  <dcterms:created xsi:type="dcterms:W3CDTF">2025-03-03T22:38:00Z</dcterms:created>
  <dcterms:modified xsi:type="dcterms:W3CDTF">2025-03-03T22:42:00Z</dcterms:modified>
</cp:coreProperties>
</file>