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to-strategy-report-governed-output"/>
      <w:r>
        <w:t xml:space="preserve">CTO Strategy Report — Governed Output</w:t>
      </w:r>
      <w:bookmarkEnd w:id="20"/>
    </w:p>
    <w:p>
      <w:pPr>
        <w:pStyle w:val="Heading2"/>
      </w:pPr>
      <w:bookmarkStart w:id="21" w:name="governance-metadata"/>
      <w:r>
        <w:t xml:space="preserve">Governance Metadata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Execution ID: 2ae5c296-4fd2-435f-bfad-91dba2536138</w:t>
      </w:r>
    </w:p>
    <w:p>
      <w:pPr>
        <w:numPr>
          <w:ilvl w:val="0"/>
          <w:numId w:val="1001"/>
        </w:numPr>
        <w:pStyle w:val="Compact"/>
      </w:pPr>
      <w:r>
        <w:t xml:space="preserve">Provider: Microsoft Copilot</w:t>
      </w:r>
    </w:p>
    <w:p>
      <w:pPr>
        <w:numPr>
          <w:ilvl w:val="0"/>
          <w:numId w:val="1001"/>
        </w:numPr>
        <w:pStyle w:val="Compact"/>
      </w:pPr>
      <w:r>
        <w:t xml:space="preserve">Contract Hash: 54d9511619dca46f09bc88edc1d6ec98ce2198adfc18595c606872e78ea24e05</w:t>
      </w:r>
    </w:p>
    <w:p>
      <w:pPr>
        <w:numPr>
          <w:ilvl w:val="0"/>
          <w:numId w:val="1001"/>
        </w:numPr>
        <w:pStyle w:val="Compact"/>
      </w:pPr>
      <w:r>
        <w:t xml:space="preserve">Input Hash: 4965baa027bfe08044aed3bc105c95f80065297311cd5e0611fdaea1daeacdbe</w:t>
      </w:r>
    </w:p>
    <w:p>
      <w:pPr>
        <w:numPr>
          <w:ilvl w:val="0"/>
          <w:numId w:val="1001"/>
        </w:numPr>
        <w:pStyle w:val="Compact"/>
      </w:pPr>
      <w:r>
        <w:t xml:space="preserve">Previous Ledger Hash: 03f28142e2c5b2819de06196339d7e32dca7b0ff2b52cc3224b83e2f6638c00e</w:t>
      </w:r>
    </w:p>
    <w:p>
      <w:pPr>
        <w:numPr>
          <w:ilvl w:val="0"/>
          <w:numId w:val="1001"/>
        </w:numPr>
        <w:pStyle w:val="Compact"/>
      </w:pPr>
      <w:r>
        <w:t xml:space="preserve">Risk Classification: LOW</w:t>
      </w:r>
    </w:p>
    <w:p>
      <w:pPr>
        <w:pStyle w:val="Heading2"/>
      </w:pPr>
      <w:bookmarkStart w:id="22" w:name="determinism-assertion"/>
      <w:r>
        <w:t xml:space="preserve">Determinism Assertion</w:t>
      </w:r>
      <w:bookmarkEnd w:id="22"/>
    </w:p>
    <w:p>
      <w:pPr>
        <w:pStyle w:val="FirstParagraph"/>
      </w:pPr>
      <w:r>
        <w:t xml:space="preserve">This report was produced via deterministic DIIaC execution.</w:t>
      </w:r>
      <w:r>
        <w:t xml:space="preserve"> </w:t>
      </w:r>
      <w:r>
        <w:t xml:space="preserve">The upstream AI provider does not affect governance outcomes.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 are acting as a Group CTO preparing a formal enterprise CTO Strategy</w:t>
      </w:r>
    </w:p>
    <w:p>
      <w:pPr>
        <w:pStyle w:val="BodyText"/>
      </w:pPr>
      <w:r>
        <w:t xml:space="preserve">document suitable for board review.</w:t>
      </w:r>
    </w:p>
    <w:p>
      <w:pPr>
        <w:pStyle w:val="BodyText"/>
      </w:pPr>
      <w:r>
        <w:t xml:space="preserve">Produce a detailed, structured CTO Strategy report with the following</w:t>
      </w:r>
    </w:p>
    <w:p>
      <w:pPr>
        <w:pStyle w:val="BodyText"/>
      </w:pPr>
      <w:r>
        <w:t xml:space="preserve">mandatory sections, clearly titled and in this exact order:</w:t>
      </w:r>
    </w:p>
    <w:p>
      <w:pPr>
        <w:pStyle w:val="BodyText"/>
      </w:pPr>
      <w:r>
        <w:t xml:space="preserve">1. Current State Baseline</w:t>
      </w:r>
    </w:p>
    <w:p>
      <w:pPr>
        <w:pStyle w:val="BodyText"/>
      </w:pPr>
      <w:r>
        <w:t xml:space="preserve">2. Target State (12–24 Months)</w:t>
      </w:r>
    </w:p>
    <w:p>
      <w:pPr>
        <w:pStyle w:val="BodyText"/>
      </w:pPr>
      <w:r>
        <w:t xml:space="preserve">3. Assumptions</w:t>
      </w:r>
    </w:p>
    <w:p>
      <w:pPr>
        <w:pStyle w:val="BodyText"/>
      </w:pPr>
      <w:r>
        <w:t xml:space="preserve">4. Constraints</w:t>
      </w:r>
    </w:p>
    <w:p>
      <w:pPr>
        <w:pStyle w:val="BodyText"/>
      </w:pPr>
      <w:r>
        <w:t xml:space="preserve">5. Key Strategic Decisions</w:t>
      </w:r>
    </w:p>
    <w:p>
      <w:pPr>
        <w:pStyle w:val="BodyText"/>
      </w:pPr>
      <w:r>
        <w:t xml:space="preserve">6. Dependencies</w:t>
      </w:r>
    </w:p>
    <w:p>
      <w:pPr>
        <w:pStyle w:val="BodyText"/>
      </w:pPr>
      <w:r>
        <w:t xml:space="preserve">7. Risks and Mitigations</w:t>
      </w:r>
    </w:p>
    <w:p>
      <w:pPr>
        <w:pStyle w:val="BodyText"/>
      </w:pPr>
      <w:r>
        <w:t xml:space="preserve">8. Delivery Roadmap</w:t>
      </w:r>
    </w:p>
    <w:p>
      <w:pPr>
        <w:pStyle w:val="BodyText"/>
      </w:pPr>
      <w:r>
        <w:t xml:space="preserve">9. Ownership and Accountability</w:t>
      </w:r>
    </w:p>
    <w:p>
      <w:pPr>
        <w:pStyle w:val="BodyText"/>
      </w:pPr>
      <w:r>
        <w:t xml:space="preserve">10. Board Summary</w:t>
      </w:r>
    </w:p>
    <w:p>
      <w:pPr>
        <w:pStyle w:val="BodyText"/>
      </w:pPr>
      <w:r>
        <w:t xml:space="preserve">Requirements:</w:t>
      </w:r>
    </w:p>
    <w:p>
      <w:pPr>
        <w:pStyle w:val="BodyText"/>
      </w:pPr>
      <w:r>
        <w:t xml:space="preserve">- Assume a regulated, UK-based critical national infrastructure organisation</w:t>
      </w:r>
    </w:p>
    <w:p>
      <w:pPr>
        <w:pStyle w:val="BodyText"/>
      </w:pPr>
      <w:r>
        <w:t xml:space="preserve">- Address cloud strategy, cyber security, data governance, operating model, and skills</w:t>
      </w:r>
    </w:p>
    <w:p>
      <w:pPr>
        <w:pStyle w:val="BodyText"/>
      </w:pPr>
      <w:r>
        <w:t xml:space="preserve">- Use concrete, non-marketing language</w:t>
      </w:r>
    </w:p>
    <w:p>
      <w:pPr>
        <w:pStyle w:val="BodyText"/>
      </w:pPr>
      <w:r>
        <w:t xml:space="preserve">- Include realistic risks and mitigations</w:t>
      </w:r>
    </w:p>
    <w:p>
      <w:pPr>
        <w:pStyle w:val="BodyText"/>
      </w:pPr>
      <w:r>
        <w:t xml:space="preserve">- Ensure strategic decisions have named owners</w:t>
      </w:r>
    </w:p>
    <w:p>
      <w:pPr>
        <w:pStyle w:val="BodyText"/>
      </w:pPr>
      <w:r>
        <w:t xml:space="preserve">- Board Summary must be concise and decisive</w:t>
      </w:r>
    </w:p>
    <w:p>
      <w:pPr>
        <w:pStyle w:val="BodyText"/>
      </w:pPr>
      <w:r>
        <w:t xml:space="preserve">This content will be governed deterministically.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7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D4AF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2026-02-09T15:07:24Z</dcterms:created>
  <dcterms:modified xsi:type="dcterms:W3CDTF">2026-02-09T15:07:24Z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