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X8327665ccdcae52d2b6618014d0f89da017f2d7"/>
    <w:p>
      <w:pPr>
        <w:pStyle w:val="Heading1"/>
      </w:pPr>
      <w:r>
        <w:t xml:space="preserve">Executive Report: SCADA Obsolescence Transformation Framework</w:t>
      </w:r>
    </w:p>
    <w:bookmarkStart w:id="20" w:name="executive-summary"/>
    <w:p>
      <w:pPr>
        <w:pStyle w:val="Heading2"/>
      </w:pPr>
      <w:r>
        <w:t xml:space="preserve">1. Executive Summary</w:t>
      </w:r>
    </w:p>
    <w:p>
      <w:pPr>
        <w:pStyle w:val="FirstParagraph"/>
      </w:pPr>
      <w:r>
        <w:t xml:space="preserve">The current SCADA obsolescence position has reached the point where a static register is no longer sufficient to manage operational, cyber, safety, commercial and lifecycle risk. A spreadsheet-based register may identify ageing assets, but it does not provide the governance, evidence, prioritisation, delivery structure or decision control required to manage SCADA obsolescence as an enterprise-level programme.</w:t>
      </w:r>
    </w:p>
    <w:p>
      <w:pPr>
        <w:pStyle w:val="BodyText"/>
      </w:pPr>
      <w:r>
        <w:t xml:space="preserve">This report proposes a new</w:t>
      </w:r>
      <w:r>
        <w:t xml:space="preserve"> </w:t>
      </w:r>
      <w:r>
        <w:rPr>
          <w:b/>
          <w:bCs/>
        </w:rPr>
        <w:t xml:space="preserve">SCADA Obsolescence Transformation Framework</w:t>
      </w:r>
      <w:r>
        <w:t xml:space="preserve"> </w:t>
      </w:r>
      <w:r>
        <w:t xml:space="preserve">supported by a dynamic application platform. The framework converts the current register into a governed, risk-ranked, evidence-led programme model that allows the organisation to:</w:t>
      </w:r>
    </w:p>
    <w:p>
      <w:pPr>
        <w:pStyle w:val="Compact"/>
        <w:numPr>
          <w:ilvl w:val="0"/>
          <w:numId w:val="1001"/>
        </w:numPr>
      </w:pPr>
      <w:r>
        <w:t xml:space="preserve">Understand the true condition and supportability of SCADA, OT and industrial control assets.</w:t>
      </w:r>
    </w:p>
    <w:p>
      <w:pPr>
        <w:pStyle w:val="Compact"/>
        <w:numPr>
          <w:ilvl w:val="0"/>
          <w:numId w:val="1001"/>
        </w:numPr>
      </w:pPr>
      <w:r>
        <w:t xml:space="preserve">Prioritise investment based on operational consequence, cyber exposure, lifecycle risk and recoverability.</w:t>
      </w:r>
    </w:p>
    <w:p>
      <w:pPr>
        <w:pStyle w:val="Compact"/>
        <w:numPr>
          <w:ilvl w:val="0"/>
          <w:numId w:val="1001"/>
        </w:numPr>
      </w:pPr>
      <w:r>
        <w:t xml:space="preserve">Convert asset-level issues into structured programme work packages.</w:t>
      </w:r>
    </w:p>
    <w:p>
      <w:pPr>
        <w:pStyle w:val="Compact"/>
        <w:numPr>
          <w:ilvl w:val="0"/>
          <w:numId w:val="1001"/>
        </w:numPr>
      </w:pPr>
      <w:r>
        <w:t xml:space="preserve">Manage upgrade delivery through clear governance gates.</w:t>
      </w:r>
    </w:p>
    <w:p>
      <w:pPr>
        <w:pStyle w:val="Compact"/>
        <w:numPr>
          <w:ilvl w:val="0"/>
          <w:numId w:val="1001"/>
        </w:numPr>
      </w:pPr>
      <w:r>
        <w:t xml:space="preserve">Track cost, benefits, risk reduction, data quality and delivery progress.</w:t>
      </w:r>
    </w:p>
    <w:p>
      <w:pPr>
        <w:pStyle w:val="Compact"/>
        <w:numPr>
          <w:ilvl w:val="0"/>
          <w:numId w:val="1001"/>
        </w:numPr>
      </w:pPr>
      <w:r>
        <w:t xml:space="preserve">Maintain a rolling lifecycle view to prevent future obsolescence cliffs.</w:t>
      </w:r>
    </w:p>
    <w:p>
      <w:pPr>
        <w:pStyle w:val="FirstParagraph"/>
      </w:pPr>
      <w:r>
        <w:t xml:space="preserve">The proposed application replaces static files with a dynamic front-end and back-end platform. It provides live dashboards, asset management, automated risk scoring, CSV migration, package governance, audit history and programme reporting. This creates a single controlled source of truth for SCADA lifecycle management and enables the organisation to move from reactive replacement activity to proactive operational resilience planning.</w:t>
      </w:r>
    </w:p>
    <w:p>
      <w:pPr>
        <w:pStyle w:val="BodyText"/>
      </w:pPr>
      <w:r>
        <w:t xml:space="preserve">The recommended next step is to formally establish a</w:t>
      </w:r>
      <w:r>
        <w:t xml:space="preserve"> </w:t>
      </w:r>
      <w:r>
        <w:rPr>
          <w:b/>
          <w:bCs/>
        </w:rPr>
        <w:t xml:space="preserve">SCADA Obsolescence Programme</w:t>
      </w:r>
      <w:r>
        <w:t xml:space="preserve"> </w:t>
      </w:r>
      <w:r>
        <w:t xml:space="preserve">using this framework, beginning with a 12-week portfolio-definition phase and an immediate Wave 0 containment plan for the highest-risk systems.</w:t>
      </w:r>
    </w:p>
    <w:p>
      <w:r>
        <w:pict>
          <v:rect style="width:0;height:1.5pt" o:hralign="center" o:hrstd="t" o:hr="t"/>
        </w:pict>
      </w:r>
    </w:p>
    <w:bookmarkEnd w:id="20"/>
    <w:bookmarkStart w:id="21" w:name="current-challenge"/>
    <w:p>
      <w:pPr>
        <w:pStyle w:val="Heading2"/>
      </w:pPr>
      <w:r>
        <w:t xml:space="preserve">2. Current Challenge</w:t>
      </w:r>
    </w:p>
    <w:p>
      <w:pPr>
        <w:pStyle w:val="FirstParagraph"/>
      </w:pPr>
      <w:r>
        <w:t xml:space="preserve">The initial obsolescence register is useful as a starting point, but it is not yet optimal for executive decision-making or delivery control. The main limitations are:</w:t>
      </w:r>
    </w:p>
    <w:p>
      <w:pPr>
        <w:numPr>
          <w:ilvl w:val="0"/>
          <w:numId w:val="1002"/>
        </w:numPr>
      </w:pPr>
      <w:r>
        <w:rPr>
          <w:b/>
          <w:bCs/>
        </w:rPr>
        <w:t xml:space="preserve">Static data</w:t>
      </w:r>
    </w:p>
    <w:p>
      <w:pPr>
        <w:pStyle w:val="Compact"/>
        <w:numPr>
          <w:ilvl w:val="1"/>
          <w:numId w:val="1003"/>
        </w:numPr>
      </w:pPr>
      <w:r>
        <w:t xml:space="preserve">The current model relies on fixed files and manual updates.</w:t>
      </w:r>
    </w:p>
    <w:p>
      <w:pPr>
        <w:pStyle w:val="Compact"/>
        <w:numPr>
          <w:ilvl w:val="1"/>
          <w:numId w:val="1003"/>
        </w:numPr>
      </w:pPr>
      <w:r>
        <w:t xml:space="preserve">There is limited ability to track change history, approval status or evidence confidence.</w:t>
      </w:r>
    </w:p>
    <w:p>
      <w:pPr>
        <w:numPr>
          <w:ilvl w:val="0"/>
          <w:numId w:val="1002"/>
        </w:numPr>
      </w:pPr>
      <w:r>
        <w:rPr>
          <w:b/>
          <w:bCs/>
        </w:rPr>
        <w:t xml:space="preserve">Asset-level focus</w:t>
      </w:r>
    </w:p>
    <w:p>
      <w:pPr>
        <w:pStyle w:val="Compact"/>
        <w:numPr>
          <w:ilvl w:val="1"/>
          <w:numId w:val="1004"/>
        </w:numPr>
      </w:pPr>
      <w:r>
        <w:t xml:space="preserve">Individual assets are listed, but they are not consistently grouped into operational systems, sites, dependencies or investment packages.</w:t>
      </w:r>
    </w:p>
    <w:p>
      <w:pPr>
        <w:pStyle w:val="Compact"/>
        <w:numPr>
          <w:ilvl w:val="1"/>
          <w:numId w:val="1004"/>
        </w:numPr>
      </w:pPr>
      <w:r>
        <w:t xml:space="preserve">This makes it difficult to determine what should be delivered together.</w:t>
      </w:r>
    </w:p>
    <w:p>
      <w:pPr>
        <w:numPr>
          <w:ilvl w:val="0"/>
          <w:numId w:val="1002"/>
        </w:numPr>
      </w:pPr>
      <w:r>
        <w:rPr>
          <w:b/>
          <w:bCs/>
        </w:rPr>
        <w:t xml:space="preserve">Limited prioritisation</w:t>
      </w:r>
    </w:p>
    <w:p>
      <w:pPr>
        <w:pStyle w:val="Compact"/>
        <w:numPr>
          <w:ilvl w:val="1"/>
          <w:numId w:val="1005"/>
        </w:numPr>
      </w:pPr>
      <w:r>
        <w:t xml:space="preserve">Obsolescence status alone does not determine urgency.</w:t>
      </w:r>
    </w:p>
    <w:p>
      <w:pPr>
        <w:pStyle w:val="Compact"/>
        <w:numPr>
          <w:ilvl w:val="1"/>
          <w:numId w:val="1005"/>
        </w:numPr>
      </w:pPr>
      <w:r>
        <w:t xml:space="preserve">A supported but unrecoverable system may be more critical than an unsupported but isolated asset.</w:t>
      </w:r>
    </w:p>
    <w:p>
      <w:pPr>
        <w:numPr>
          <w:ilvl w:val="0"/>
          <w:numId w:val="1002"/>
        </w:numPr>
      </w:pPr>
      <w:r>
        <w:rPr>
          <w:b/>
          <w:bCs/>
        </w:rPr>
        <w:t xml:space="preserve">Weak programme linkage</w:t>
      </w:r>
    </w:p>
    <w:p>
      <w:pPr>
        <w:pStyle w:val="Compact"/>
        <w:numPr>
          <w:ilvl w:val="1"/>
          <w:numId w:val="1006"/>
        </w:numPr>
      </w:pPr>
      <w:r>
        <w:t xml:space="preserve">The register does not naturally translate into delivery waves, funding requests, outage plans, procurement activity or benefits tracking.</w:t>
      </w:r>
    </w:p>
    <w:p>
      <w:pPr>
        <w:numPr>
          <w:ilvl w:val="0"/>
          <w:numId w:val="1002"/>
        </w:numPr>
      </w:pPr>
      <w:r>
        <w:rPr>
          <w:b/>
          <w:bCs/>
        </w:rPr>
        <w:t xml:space="preserve">Incomplete governance</w:t>
      </w:r>
    </w:p>
    <w:p>
      <w:pPr>
        <w:pStyle w:val="Compact"/>
        <w:numPr>
          <w:ilvl w:val="1"/>
          <w:numId w:val="1007"/>
        </w:numPr>
      </w:pPr>
      <w:r>
        <w:t xml:space="preserve">There is no consistent gate model showing whether an item is discovered, risk-assessed, solutioned, funded, designed, delivered, accepted or closed.</w:t>
      </w:r>
    </w:p>
    <w:p>
      <w:pPr>
        <w:numPr>
          <w:ilvl w:val="0"/>
          <w:numId w:val="1002"/>
        </w:numPr>
      </w:pPr>
      <w:r>
        <w:rPr>
          <w:b/>
          <w:bCs/>
        </w:rPr>
        <w:t xml:space="preserve">Limited evidence quality</w:t>
      </w:r>
    </w:p>
    <w:p>
      <w:pPr>
        <w:pStyle w:val="Compact"/>
        <w:numPr>
          <w:ilvl w:val="1"/>
          <w:numId w:val="1008"/>
        </w:numPr>
      </w:pPr>
      <w:r>
        <w:t xml:space="preserve">Vendor support status, backup quality, dependency mapping and cyber exposure may be incomplete or unverified.</w:t>
      </w:r>
    </w:p>
    <w:p>
      <w:pPr>
        <w:pStyle w:val="Compact"/>
        <w:numPr>
          <w:ilvl w:val="1"/>
          <w:numId w:val="1008"/>
        </w:numPr>
      </w:pPr>
      <w:r>
        <w:t xml:space="preserve">Unknown information can appear as low risk when it should be treated as an investigation priority.</w:t>
      </w:r>
    </w:p>
    <w:p>
      <w:pPr>
        <w:pStyle w:val="FirstParagraph"/>
      </w:pPr>
      <w:r>
        <w:t xml:space="preserve">The result is that the register acts as a catalogue of ageing assets rather than a managed decision system. The organisation needs to evolve from</w:t>
      </w:r>
      <w:r>
        <w:t xml:space="preserve"> </w:t>
      </w:r>
      <w:r>
        <w:rPr>
          <w:b/>
          <w:bCs/>
        </w:rPr>
        <w:t xml:space="preserve">inventory management</w:t>
      </w:r>
      <w:r>
        <w:t xml:space="preserve"> </w:t>
      </w:r>
      <w:r>
        <w:t xml:space="preserve">to</w:t>
      </w:r>
      <w:r>
        <w:t xml:space="preserve"> </w:t>
      </w:r>
      <w:r>
        <w:rPr>
          <w:b/>
          <w:bCs/>
        </w:rPr>
        <w:t xml:space="preserve">portfolio-led lifecycle management</w:t>
      </w:r>
      <w:r>
        <w:t xml:space="preserve">.</w:t>
      </w:r>
    </w:p>
    <w:p>
      <w:r>
        <w:pict>
          <v:rect style="width:0;height:1.5pt" o:hralign="center" o:hrstd="t" o:hr="t"/>
        </w:pict>
      </w:r>
    </w:p>
    <w:bookmarkEnd w:id="21"/>
    <w:bookmarkStart w:id="22" w:name="proposed-framework"/>
    <w:p>
      <w:pPr>
        <w:pStyle w:val="Heading2"/>
      </w:pPr>
      <w:r>
        <w:t xml:space="preserve">3. Proposed Framework</w:t>
      </w:r>
    </w:p>
    <w:p>
      <w:pPr>
        <w:pStyle w:val="FirstParagraph"/>
      </w:pPr>
      <w:r>
        <w:t xml:space="preserve">The proposed framework transforms SCADA obsolescence management into a structured lifecycle process made up of five connected layers:</w:t>
      </w:r>
    </w:p>
    <w:p>
      <w:pPr>
        <w:pStyle w:val="Compact"/>
        <w:numPr>
          <w:ilvl w:val="0"/>
          <w:numId w:val="1009"/>
        </w:numPr>
      </w:pPr>
      <w:r>
        <w:rPr>
          <w:b/>
          <w:bCs/>
        </w:rPr>
        <w:t xml:space="preserve">Definitive Asset and Architecture Baseline</w:t>
      </w:r>
    </w:p>
    <w:p>
      <w:pPr>
        <w:pStyle w:val="Compact"/>
        <w:numPr>
          <w:ilvl w:val="0"/>
          <w:numId w:val="1009"/>
        </w:numPr>
      </w:pPr>
      <w:r>
        <w:rPr>
          <w:b/>
          <w:bCs/>
        </w:rPr>
        <w:t xml:space="preserve">Risk and Evidence Assessment</w:t>
      </w:r>
    </w:p>
    <w:p>
      <w:pPr>
        <w:pStyle w:val="Compact"/>
        <w:numPr>
          <w:ilvl w:val="0"/>
          <w:numId w:val="1009"/>
        </w:numPr>
      </w:pPr>
      <w:r>
        <w:rPr>
          <w:b/>
          <w:bCs/>
        </w:rPr>
        <w:t xml:space="preserve">Treatment and Investment Decisioning</w:t>
      </w:r>
    </w:p>
    <w:p>
      <w:pPr>
        <w:pStyle w:val="Compact"/>
        <w:numPr>
          <w:ilvl w:val="0"/>
          <w:numId w:val="1009"/>
        </w:numPr>
      </w:pPr>
      <w:r>
        <w:rPr>
          <w:b/>
          <w:bCs/>
        </w:rPr>
        <w:t xml:space="preserve">Programme Work Package Delivery</w:t>
      </w:r>
    </w:p>
    <w:p>
      <w:pPr>
        <w:pStyle w:val="Compact"/>
        <w:numPr>
          <w:ilvl w:val="0"/>
          <w:numId w:val="1009"/>
        </w:numPr>
      </w:pPr>
      <w:r>
        <w:rPr>
          <w:b/>
          <w:bCs/>
        </w:rPr>
        <w:t xml:space="preserve">Ongoing Lifecycle Governance</w:t>
      </w:r>
    </w:p>
    <w:p>
      <w:pPr>
        <w:pStyle w:val="FirstParagraph"/>
      </w:pPr>
      <w:r>
        <w:t xml:space="preserve">The framework is designed to align with recognised good practice from IEC obsolescence management, NIST operational technology security guidance, cybersecurity risk management frameworks and OT connectivity principles.</w:t>
      </w:r>
    </w:p>
    <w:p>
      <w:pPr>
        <w:pStyle w:val="BodyText"/>
      </w:pPr>
      <w:r>
        <w:t xml:space="preserve">The key principle is simple:</w:t>
      </w:r>
    </w:p>
    <w:p>
      <w:pPr>
        <w:pStyle w:val="BlockText"/>
      </w:pPr>
      <w:r>
        <w:t xml:space="preserve">The organisation should not manage SCADA obsolescence as a list of old equipment. It should manage it as a live operational-risk portfolio, linked to safety, resilience, cybersecurity, business continuity, supportability and capital planning.</w:t>
      </w:r>
    </w:p>
    <w:p>
      <w:r>
        <w:pict>
          <v:rect style="width:0;height:1.5pt" o:hralign="center" o:hrstd="t" o:hr="t"/>
        </w:pict>
      </w:r>
    </w:p>
    <w:bookmarkEnd w:id="22"/>
    <w:bookmarkStart w:id="27" w:name="guiding-standards-and-good-practice"/>
    <w:p>
      <w:pPr>
        <w:pStyle w:val="Heading2"/>
      </w:pPr>
      <w:r>
        <w:t xml:space="preserve">4. Guiding Standards and Good Practice</w:t>
      </w:r>
    </w:p>
    <w:bookmarkStart w:id="23" w:name="iec-62402-obsolescence-management"/>
    <w:p>
      <w:pPr>
        <w:pStyle w:val="Heading3"/>
      </w:pPr>
      <w:r>
        <w:t xml:space="preserve">4.1 IEC 62402: Obsolescence Management</w:t>
      </w:r>
    </w:p>
    <w:p>
      <w:pPr>
        <w:pStyle w:val="FirstParagraph"/>
      </w:pPr>
      <w:r>
        <w:t xml:space="preserve">IEC 62402 provides the core lifecycle-management reference for obsolescence. Its relevance to SCADA is that it treats obsolescence as a managed process across the life of an item, rather than a one-time replacement event.</w:t>
      </w:r>
    </w:p>
    <w:p>
      <w:pPr>
        <w:pStyle w:val="BodyText"/>
      </w:pPr>
      <w:r>
        <w:t xml:space="preserve">The proposed framework adopts the following IEC-aligned principles:</w:t>
      </w:r>
    </w:p>
    <w:p>
      <w:pPr>
        <w:pStyle w:val="Compact"/>
        <w:numPr>
          <w:ilvl w:val="0"/>
          <w:numId w:val="1010"/>
        </w:numPr>
      </w:pPr>
      <w:r>
        <w:t xml:space="preserve">Establish an obsolescence management policy.</w:t>
      </w:r>
    </w:p>
    <w:p>
      <w:pPr>
        <w:pStyle w:val="Compact"/>
        <w:numPr>
          <w:ilvl w:val="0"/>
          <w:numId w:val="1010"/>
        </w:numPr>
      </w:pPr>
      <w:r>
        <w:t xml:space="preserve">Define roles, governance and ownership.</w:t>
      </w:r>
    </w:p>
    <w:p>
      <w:pPr>
        <w:pStyle w:val="Compact"/>
        <w:numPr>
          <w:ilvl w:val="0"/>
          <w:numId w:val="1010"/>
        </w:numPr>
      </w:pPr>
      <w:r>
        <w:t xml:space="preserve">Develop an obsolescence management plan.</w:t>
      </w:r>
    </w:p>
    <w:p>
      <w:pPr>
        <w:pStyle w:val="Compact"/>
        <w:numPr>
          <w:ilvl w:val="0"/>
          <w:numId w:val="1010"/>
        </w:numPr>
      </w:pPr>
      <w:r>
        <w:t xml:space="preserve">Identify lifecycle risks early.</w:t>
      </w:r>
    </w:p>
    <w:p>
      <w:pPr>
        <w:pStyle w:val="Compact"/>
        <w:numPr>
          <w:ilvl w:val="0"/>
          <w:numId w:val="1010"/>
        </w:numPr>
      </w:pPr>
      <w:r>
        <w:t xml:space="preserve">Select appropriate resolution strategies.</w:t>
      </w:r>
    </w:p>
    <w:p>
      <w:pPr>
        <w:pStyle w:val="Compact"/>
        <w:numPr>
          <w:ilvl w:val="0"/>
          <w:numId w:val="1010"/>
        </w:numPr>
      </w:pPr>
      <w:r>
        <w:t xml:space="preserve">Measure performance and continually improve.</w:t>
      </w:r>
    </w:p>
    <w:p>
      <w:pPr>
        <w:pStyle w:val="Compact"/>
        <w:numPr>
          <w:ilvl w:val="0"/>
          <w:numId w:val="1010"/>
        </w:numPr>
      </w:pPr>
      <w:r>
        <w:t xml:space="preserve">Integrate obsolescence thinking into design, procurement, delivery and support.</w:t>
      </w:r>
    </w:p>
    <w:p>
      <w:pPr>
        <w:pStyle w:val="FirstParagraph"/>
      </w:pPr>
      <w:r>
        <w:t xml:space="preserve">For SCADA, this means obsolescence is not only about replacing unsupported hardware or software. It includes support contracts, spares, firmware, operating systems, databases, licences, certificates, engineering tools, backups, recovery capability, third-party dependencies and supplier viability.</w:t>
      </w:r>
    </w:p>
    <w:bookmarkEnd w:id="23"/>
    <w:bookmarkStart w:id="24" w:name="X1e589a958e33edab6cc17fe6a1b4c22784b0a92"/>
    <w:p>
      <w:pPr>
        <w:pStyle w:val="Heading3"/>
      </w:pPr>
      <w:r>
        <w:t xml:space="preserve">4.2 NIST SP 800-82: Operational Technology Security</w:t>
      </w:r>
    </w:p>
    <w:p>
      <w:pPr>
        <w:pStyle w:val="FirstParagraph"/>
      </w:pPr>
      <w:r>
        <w:t xml:space="preserve">NIST SP 800-82 provides guidance for securing operational technology while recognising the specific constraints of OT environments. SCADA and industrial control systems differ from traditional IT because they directly affect physical processes, safety, availability, reliability and operational continuity.</w:t>
      </w:r>
    </w:p>
    <w:p>
      <w:pPr>
        <w:pStyle w:val="BodyText"/>
      </w:pPr>
      <w:r>
        <w:t xml:space="preserve">The framework adopts the following NIST OT principles:</w:t>
      </w:r>
    </w:p>
    <w:p>
      <w:pPr>
        <w:pStyle w:val="Compact"/>
        <w:numPr>
          <w:ilvl w:val="0"/>
          <w:numId w:val="1011"/>
        </w:numPr>
      </w:pPr>
      <w:r>
        <w:t xml:space="preserve">Safety and availability must be central to all decisions.</w:t>
      </w:r>
    </w:p>
    <w:p>
      <w:pPr>
        <w:pStyle w:val="Compact"/>
        <w:numPr>
          <w:ilvl w:val="0"/>
          <w:numId w:val="1011"/>
        </w:numPr>
      </w:pPr>
      <w:r>
        <w:t xml:space="preserve">OT systems require protection strategies that reflect real operational constraints.</w:t>
      </w:r>
    </w:p>
    <w:p>
      <w:pPr>
        <w:pStyle w:val="Compact"/>
        <w:numPr>
          <w:ilvl w:val="0"/>
          <w:numId w:val="1011"/>
        </w:numPr>
      </w:pPr>
      <w:r>
        <w:t xml:space="preserve">Asset discovery must be controlled and appropriate for OT environments.</w:t>
      </w:r>
    </w:p>
    <w:p>
      <w:pPr>
        <w:pStyle w:val="Compact"/>
        <w:numPr>
          <w:ilvl w:val="0"/>
          <w:numId w:val="1011"/>
        </w:numPr>
      </w:pPr>
      <w:r>
        <w:t xml:space="preserve">Network segmentation and controlled connectivity are essential.</w:t>
      </w:r>
    </w:p>
    <w:p>
      <w:pPr>
        <w:pStyle w:val="Compact"/>
        <w:numPr>
          <w:ilvl w:val="0"/>
          <w:numId w:val="1011"/>
        </w:numPr>
      </w:pPr>
      <w:r>
        <w:t xml:space="preserve">Security changes must be tested to avoid operational disruption.</w:t>
      </w:r>
    </w:p>
    <w:p>
      <w:pPr>
        <w:pStyle w:val="Compact"/>
        <w:numPr>
          <w:ilvl w:val="0"/>
          <w:numId w:val="1011"/>
        </w:numPr>
      </w:pPr>
      <w:r>
        <w:t xml:space="preserve">Recovery planning is as important as prevention.</w:t>
      </w:r>
    </w:p>
    <w:p>
      <w:pPr>
        <w:pStyle w:val="Compact"/>
        <w:numPr>
          <w:ilvl w:val="0"/>
          <w:numId w:val="1011"/>
        </w:numPr>
      </w:pPr>
      <w:r>
        <w:t xml:space="preserve">Cybersecurity must be integrated with engineering, operations and safety governance.</w:t>
      </w:r>
    </w:p>
    <w:p>
      <w:pPr>
        <w:pStyle w:val="FirstParagraph"/>
      </w:pPr>
      <w:r>
        <w:t xml:space="preserve">This is important because SCADA obsolescence often creates cyber exposure. Unsupported operating systems, obsolete remote-access routes, weak authentication, legacy protocols and unpatched systems can all become unacceptable risks if not actively managed.</w:t>
      </w:r>
    </w:p>
    <w:bookmarkEnd w:id="24"/>
    <w:bookmarkStart w:id="25" w:name="nist-cybersecurity-framework-2.0"/>
    <w:p>
      <w:pPr>
        <w:pStyle w:val="Heading3"/>
      </w:pPr>
      <w:r>
        <w:t xml:space="preserve">4.3 NIST Cybersecurity Framework 2.0</w:t>
      </w:r>
    </w:p>
    <w:p>
      <w:pPr>
        <w:pStyle w:val="FirstParagraph"/>
      </w:pPr>
      <w:r>
        <w:t xml:space="preserve">NIST CSF 2.0 provides a useful executive reporting structure for cybersecurity and resilience outcomes. The proposed SCADA programme can align its reporting to the six CSF functions: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NIST CSF Function</w:t>
            </w:r>
          </w:p>
        </w:tc>
        <w:tc>
          <w:tcPr/>
          <w:p>
            <w:pPr>
              <w:pStyle w:val="Compact"/>
            </w:pPr>
            <w:r>
              <w:t xml:space="preserve">SCADA Obsolescence Application</w:t>
            </w:r>
          </w:p>
        </w:tc>
      </w:tr>
      <w:tr>
        <w:tc>
          <w:tcPr/>
          <w:p>
            <w:pPr>
              <w:pStyle w:val="Compact"/>
            </w:pPr>
            <w:r>
              <w:rPr>
                <w:b/>
                <w:bCs/>
              </w:rPr>
              <w:t xml:space="preserve">Govern</w:t>
            </w:r>
          </w:p>
        </w:tc>
        <w:tc>
          <w:tcPr/>
          <w:p>
            <w:pPr>
              <w:pStyle w:val="Compact"/>
            </w:pPr>
            <w:r>
              <w:t xml:space="preserve">Define ownership, risk appetite, decision rights, policy and investment governance.</w:t>
            </w:r>
          </w:p>
        </w:tc>
      </w:tr>
      <w:tr>
        <w:tc>
          <w:tcPr/>
          <w:p>
            <w:pPr>
              <w:pStyle w:val="Compact"/>
            </w:pPr>
            <w:r>
              <w:rPr>
                <w:b/>
                <w:bCs/>
              </w:rPr>
              <w:t xml:space="preserve">Identify</w:t>
            </w:r>
          </w:p>
        </w:tc>
        <w:tc>
          <w:tcPr/>
          <w:p>
            <w:pPr>
              <w:pStyle w:val="Compact"/>
            </w:pPr>
            <w:r>
              <w:t xml:space="preserve">Build the definitive SCADA asset, architecture, dependency and lifecycle baseline.</w:t>
            </w:r>
          </w:p>
        </w:tc>
      </w:tr>
      <w:tr>
        <w:tc>
          <w:tcPr/>
          <w:p>
            <w:pPr>
              <w:pStyle w:val="Compact"/>
            </w:pPr>
            <w:r>
              <w:rPr>
                <w:b/>
                <w:bCs/>
              </w:rPr>
              <w:t xml:space="preserve">Protect</w:t>
            </w:r>
          </w:p>
        </w:tc>
        <w:tc>
          <w:tcPr/>
          <w:p>
            <w:pPr>
              <w:pStyle w:val="Compact"/>
            </w:pPr>
            <w:r>
              <w:t xml:space="preserve">Apply segmentation, access control, backup, supportability and hardening improvements.</w:t>
            </w:r>
          </w:p>
        </w:tc>
      </w:tr>
      <w:tr>
        <w:tc>
          <w:tcPr/>
          <w:p>
            <w:pPr>
              <w:pStyle w:val="Compact"/>
            </w:pPr>
            <w:r>
              <w:rPr>
                <w:b/>
                <w:bCs/>
              </w:rPr>
              <w:t xml:space="preserve">Detect</w:t>
            </w:r>
          </w:p>
        </w:tc>
        <w:tc>
          <w:tcPr/>
          <w:p>
            <w:pPr>
              <w:pStyle w:val="Compact"/>
            </w:pPr>
            <w:r>
              <w:t xml:space="preserve">Improve monitoring, logging, vulnerability awareness and lifecycle alerting.</w:t>
            </w:r>
          </w:p>
        </w:tc>
      </w:tr>
      <w:tr>
        <w:tc>
          <w:tcPr/>
          <w:p>
            <w:pPr>
              <w:pStyle w:val="Compact"/>
            </w:pPr>
            <w:r>
              <w:rPr>
                <w:b/>
                <w:bCs/>
              </w:rPr>
              <w:t xml:space="preserve">Respond</w:t>
            </w:r>
          </w:p>
        </w:tc>
        <w:tc>
          <w:tcPr/>
          <w:p>
            <w:pPr>
              <w:pStyle w:val="Compact"/>
            </w:pPr>
            <w:r>
              <w:t xml:space="preserve">Establish incident, failure and supplier-response playbooks.</w:t>
            </w:r>
          </w:p>
        </w:tc>
      </w:tr>
      <w:tr>
        <w:tc>
          <w:tcPr/>
          <w:p>
            <w:pPr>
              <w:pStyle w:val="Compact"/>
            </w:pPr>
            <w:r>
              <w:rPr>
                <w:b/>
                <w:bCs/>
              </w:rPr>
              <w:t xml:space="preserve">Recover</w:t>
            </w:r>
          </w:p>
        </w:tc>
        <w:tc>
          <w:tcPr/>
          <w:p>
            <w:pPr>
              <w:pStyle w:val="Compact"/>
            </w:pPr>
            <w:r>
              <w:t xml:space="preserve">Validate backups, restore plans, spare strategy and operational recovery procedures.</w:t>
            </w:r>
          </w:p>
        </w:tc>
      </w:tr>
    </w:tbl>
    <w:p>
      <w:pPr>
        <w:pStyle w:val="BodyText"/>
      </w:pPr>
      <w:r>
        <w:t xml:space="preserve">This gives executives a recognisable structure for tracking whether obsolescence work is reducing operational and cyber risk.</w:t>
      </w:r>
    </w:p>
    <w:bookmarkEnd w:id="25"/>
    <w:bookmarkStart w:id="26" w:name="Xb9237df1b255464385476ec642f1c4a49b01e43"/>
    <w:p>
      <w:pPr>
        <w:pStyle w:val="Heading3"/>
      </w:pPr>
      <w:r>
        <w:t xml:space="preserve">4.4 OT Secure Connectivity and Definitive Architecture Principles</w:t>
      </w:r>
    </w:p>
    <w:p>
      <w:pPr>
        <w:pStyle w:val="FirstParagraph"/>
      </w:pPr>
      <w:r>
        <w:t xml:space="preserve">SCADA modernisation must also improve understanding of the OT architecture and control the connectivity between systems. The framework therefore includes:</w:t>
      </w:r>
    </w:p>
    <w:p>
      <w:pPr>
        <w:pStyle w:val="Compact"/>
        <w:numPr>
          <w:ilvl w:val="0"/>
          <w:numId w:val="1012"/>
        </w:numPr>
      </w:pPr>
      <w:r>
        <w:t xml:space="preserve">A definitive view of OT systems, dependencies and connectivity.</w:t>
      </w:r>
    </w:p>
    <w:p>
      <w:pPr>
        <w:pStyle w:val="Compact"/>
        <w:numPr>
          <w:ilvl w:val="0"/>
          <w:numId w:val="1012"/>
        </w:numPr>
      </w:pPr>
      <w:r>
        <w:t xml:space="preserve">Clear network zones and conduits.</w:t>
      </w:r>
    </w:p>
    <w:p>
      <w:pPr>
        <w:pStyle w:val="Compact"/>
        <w:numPr>
          <w:ilvl w:val="0"/>
          <w:numId w:val="1012"/>
        </w:numPr>
      </w:pPr>
      <w:r>
        <w:t xml:space="preserve">Controlled vendor and remote access.</w:t>
      </w:r>
    </w:p>
    <w:p>
      <w:pPr>
        <w:pStyle w:val="Compact"/>
        <w:numPr>
          <w:ilvl w:val="0"/>
          <w:numId w:val="1012"/>
        </w:numPr>
      </w:pPr>
      <w:r>
        <w:t xml:space="preserve">Logged and monitored connectivity.</w:t>
      </w:r>
    </w:p>
    <w:p>
      <w:pPr>
        <w:pStyle w:val="Compact"/>
        <w:numPr>
          <w:ilvl w:val="0"/>
          <w:numId w:val="1012"/>
        </w:numPr>
      </w:pPr>
      <w:r>
        <w:t xml:space="preserve">Hardened OT boundaries.</w:t>
      </w:r>
    </w:p>
    <w:p>
      <w:pPr>
        <w:pStyle w:val="Compact"/>
        <w:numPr>
          <w:ilvl w:val="0"/>
          <w:numId w:val="1012"/>
        </w:numPr>
      </w:pPr>
      <w:r>
        <w:t xml:space="preserve">An isolation plan for severe cyber or operational events.</w:t>
      </w:r>
    </w:p>
    <w:p>
      <w:pPr>
        <w:pStyle w:val="Compact"/>
        <w:numPr>
          <w:ilvl w:val="0"/>
          <w:numId w:val="1012"/>
        </w:numPr>
      </w:pPr>
      <w:r>
        <w:t xml:space="preserve">Clear evidence of who owns each system, interface and risk.</w:t>
      </w:r>
    </w:p>
    <w:p>
      <w:pPr>
        <w:pStyle w:val="FirstParagraph"/>
      </w:pPr>
      <w:r>
        <w:t xml:space="preserve">This prevents the upgrade programme from simply replacing old technology while leaving weak architecture and undocumented access paths behind.</w:t>
      </w:r>
    </w:p>
    <w:p>
      <w:r>
        <w:pict>
          <v:rect style="width:0;height:1.5pt" o:hralign="center" o:hrstd="t" o:hr="t"/>
        </w:pict>
      </w:r>
    </w:p>
    <w:bookmarkEnd w:id="26"/>
    <w:bookmarkEnd w:id="27"/>
    <w:bookmarkStart w:id="33" w:name="framework-structure"/>
    <w:p>
      <w:pPr>
        <w:pStyle w:val="Heading2"/>
      </w:pPr>
      <w:r>
        <w:t xml:space="preserve">5. Framework Structure</w:t>
      </w:r>
    </w:p>
    <w:bookmarkStart w:id="28" w:name="layer-1-asset-and-architecture-baseline"/>
    <w:p>
      <w:pPr>
        <w:pStyle w:val="Heading3"/>
      </w:pPr>
      <w:r>
        <w:t xml:space="preserve">5.1 Layer 1: Asset and Architecture Baseline</w:t>
      </w:r>
    </w:p>
    <w:p>
      <w:pPr>
        <w:pStyle w:val="FirstParagraph"/>
      </w:pPr>
      <w:r>
        <w:t xml:space="preserve">The first layer establishes what exists.</w:t>
      </w:r>
    </w:p>
    <w:p>
      <w:pPr>
        <w:pStyle w:val="BodyText"/>
      </w:pPr>
      <w:r>
        <w:t xml:space="preserve">The baseline should cover:</w:t>
      </w:r>
    </w:p>
    <w:p>
      <w:pPr>
        <w:pStyle w:val="Compact"/>
        <w:numPr>
          <w:ilvl w:val="0"/>
          <w:numId w:val="1013"/>
        </w:numPr>
      </w:pPr>
      <w:r>
        <w:t xml:space="preserve">SCADA servers and HMI workstations</w:t>
      </w:r>
    </w:p>
    <w:p>
      <w:pPr>
        <w:pStyle w:val="Compact"/>
        <w:numPr>
          <w:ilvl w:val="0"/>
          <w:numId w:val="1013"/>
        </w:numPr>
      </w:pPr>
      <w:r>
        <w:t xml:space="preserve">Engineering workstations</w:t>
      </w:r>
    </w:p>
    <w:p>
      <w:pPr>
        <w:pStyle w:val="Compact"/>
        <w:numPr>
          <w:ilvl w:val="0"/>
          <w:numId w:val="1013"/>
        </w:numPr>
      </w:pPr>
      <w:r>
        <w:t xml:space="preserve">PLCs, RTUs and controllers</w:t>
      </w:r>
    </w:p>
    <w:p>
      <w:pPr>
        <w:pStyle w:val="Compact"/>
        <w:numPr>
          <w:ilvl w:val="0"/>
          <w:numId w:val="1013"/>
        </w:numPr>
      </w:pPr>
      <w:r>
        <w:t xml:space="preserve">Historians and reporting platforms</w:t>
      </w:r>
    </w:p>
    <w:p>
      <w:pPr>
        <w:pStyle w:val="Compact"/>
        <w:numPr>
          <w:ilvl w:val="0"/>
          <w:numId w:val="1013"/>
        </w:numPr>
      </w:pPr>
      <w:r>
        <w:t xml:space="preserve">Databases and middleware</w:t>
      </w:r>
    </w:p>
    <w:p>
      <w:pPr>
        <w:pStyle w:val="Compact"/>
        <w:numPr>
          <w:ilvl w:val="0"/>
          <w:numId w:val="1013"/>
        </w:numPr>
      </w:pPr>
      <w:r>
        <w:t xml:space="preserve">Communications gateways</w:t>
      </w:r>
    </w:p>
    <w:p>
      <w:pPr>
        <w:pStyle w:val="Compact"/>
        <w:numPr>
          <w:ilvl w:val="0"/>
          <w:numId w:val="1013"/>
        </w:numPr>
      </w:pPr>
      <w:r>
        <w:t xml:space="preserve">Network switches, firewalls and remote-access services</w:t>
      </w:r>
    </w:p>
    <w:p>
      <w:pPr>
        <w:pStyle w:val="Compact"/>
        <w:numPr>
          <w:ilvl w:val="0"/>
          <w:numId w:val="1013"/>
        </w:numPr>
      </w:pPr>
      <w:r>
        <w:t xml:space="preserve">Industrial protocols and interfaces</w:t>
      </w:r>
    </w:p>
    <w:p>
      <w:pPr>
        <w:pStyle w:val="Compact"/>
        <w:numPr>
          <w:ilvl w:val="0"/>
          <w:numId w:val="1013"/>
        </w:numPr>
      </w:pPr>
      <w:r>
        <w:t xml:space="preserve">Licences, certificates and vendor tools</w:t>
      </w:r>
    </w:p>
    <w:p>
      <w:pPr>
        <w:pStyle w:val="Compact"/>
        <w:numPr>
          <w:ilvl w:val="0"/>
          <w:numId w:val="1013"/>
        </w:numPr>
      </w:pPr>
      <w:r>
        <w:t xml:space="preserve">Backups, images and recovery media</w:t>
      </w:r>
    </w:p>
    <w:p>
      <w:pPr>
        <w:pStyle w:val="Compact"/>
        <w:numPr>
          <w:ilvl w:val="0"/>
          <w:numId w:val="1013"/>
        </w:numPr>
      </w:pPr>
      <w:r>
        <w:t xml:space="preserve">Spares and repair options</w:t>
      </w:r>
    </w:p>
    <w:p>
      <w:pPr>
        <w:pStyle w:val="Compact"/>
        <w:numPr>
          <w:ilvl w:val="0"/>
          <w:numId w:val="1013"/>
        </w:numPr>
      </w:pPr>
      <w:r>
        <w:t xml:space="preserve">Support contracts and supplier dependencies</w:t>
      </w:r>
    </w:p>
    <w:p>
      <w:pPr>
        <w:pStyle w:val="FirstParagraph"/>
      </w:pPr>
      <w:r>
        <w:t xml:space="preserve">Each record should include:</w:t>
      </w:r>
    </w:p>
    <w:p>
      <w:pPr>
        <w:pStyle w:val="Compact"/>
        <w:numPr>
          <w:ilvl w:val="0"/>
          <w:numId w:val="1014"/>
        </w:numPr>
      </w:pPr>
      <w:r>
        <w:t xml:space="preserve">Asset ID</w:t>
      </w:r>
    </w:p>
    <w:p>
      <w:pPr>
        <w:pStyle w:val="Compact"/>
        <w:numPr>
          <w:ilvl w:val="0"/>
          <w:numId w:val="1014"/>
        </w:numPr>
      </w:pPr>
      <w:r>
        <w:t xml:space="preserve">Site</w:t>
      </w:r>
    </w:p>
    <w:p>
      <w:pPr>
        <w:pStyle w:val="Compact"/>
        <w:numPr>
          <w:ilvl w:val="0"/>
          <w:numId w:val="1014"/>
        </w:numPr>
      </w:pPr>
      <w:r>
        <w:t xml:space="preserve">System</w:t>
      </w:r>
    </w:p>
    <w:p>
      <w:pPr>
        <w:pStyle w:val="Compact"/>
        <w:numPr>
          <w:ilvl w:val="0"/>
          <w:numId w:val="1014"/>
        </w:numPr>
      </w:pPr>
      <w:r>
        <w:t xml:space="preserve">Vendor</w:t>
      </w:r>
    </w:p>
    <w:p>
      <w:pPr>
        <w:pStyle w:val="Compact"/>
        <w:numPr>
          <w:ilvl w:val="0"/>
          <w:numId w:val="1014"/>
        </w:numPr>
      </w:pPr>
      <w:r>
        <w:t xml:space="preserve">Model</w:t>
      </w:r>
    </w:p>
    <w:p>
      <w:pPr>
        <w:pStyle w:val="Compact"/>
        <w:numPr>
          <w:ilvl w:val="0"/>
          <w:numId w:val="1014"/>
        </w:numPr>
      </w:pPr>
      <w:r>
        <w:t xml:space="preserve">Version</w:t>
      </w:r>
    </w:p>
    <w:p>
      <w:pPr>
        <w:pStyle w:val="Compact"/>
        <w:numPr>
          <w:ilvl w:val="0"/>
          <w:numId w:val="1014"/>
        </w:numPr>
      </w:pPr>
      <w:r>
        <w:t xml:space="preserve">Lifecycle status</w:t>
      </w:r>
    </w:p>
    <w:p>
      <w:pPr>
        <w:pStyle w:val="Compact"/>
        <w:numPr>
          <w:ilvl w:val="0"/>
          <w:numId w:val="1014"/>
        </w:numPr>
      </w:pPr>
      <w:r>
        <w:t xml:space="preserve">Support status</w:t>
      </w:r>
    </w:p>
    <w:p>
      <w:pPr>
        <w:pStyle w:val="Compact"/>
        <w:numPr>
          <w:ilvl w:val="0"/>
          <w:numId w:val="1014"/>
        </w:numPr>
      </w:pPr>
      <w:r>
        <w:t xml:space="preserve">Operational owner</w:t>
      </w:r>
    </w:p>
    <w:p>
      <w:pPr>
        <w:pStyle w:val="Compact"/>
        <w:numPr>
          <w:ilvl w:val="0"/>
          <w:numId w:val="1014"/>
        </w:numPr>
      </w:pPr>
      <w:r>
        <w:t xml:space="preserve">Technical owner</w:t>
      </w:r>
    </w:p>
    <w:p>
      <w:pPr>
        <w:pStyle w:val="Compact"/>
        <w:numPr>
          <w:ilvl w:val="0"/>
          <w:numId w:val="1014"/>
        </w:numPr>
      </w:pPr>
      <w:r>
        <w:t xml:space="preserve">Criticality</w:t>
      </w:r>
    </w:p>
    <w:p>
      <w:pPr>
        <w:pStyle w:val="Compact"/>
        <w:numPr>
          <w:ilvl w:val="0"/>
          <w:numId w:val="1014"/>
        </w:numPr>
      </w:pPr>
      <w:r>
        <w:t xml:space="preserve">Dependencies</w:t>
      </w:r>
    </w:p>
    <w:p>
      <w:pPr>
        <w:pStyle w:val="Compact"/>
        <w:numPr>
          <w:ilvl w:val="0"/>
          <w:numId w:val="1014"/>
        </w:numPr>
      </w:pPr>
      <w:r>
        <w:t xml:space="preserve">Backup status</w:t>
      </w:r>
    </w:p>
    <w:p>
      <w:pPr>
        <w:pStyle w:val="Compact"/>
        <w:numPr>
          <w:ilvl w:val="0"/>
          <w:numId w:val="1014"/>
        </w:numPr>
      </w:pPr>
      <w:r>
        <w:t xml:space="preserve">Cyber exposure</w:t>
      </w:r>
    </w:p>
    <w:p>
      <w:pPr>
        <w:pStyle w:val="Compact"/>
        <w:numPr>
          <w:ilvl w:val="0"/>
          <w:numId w:val="1014"/>
        </w:numPr>
      </w:pPr>
      <w:r>
        <w:t xml:space="preserve">Evidence source</w:t>
      </w:r>
    </w:p>
    <w:p>
      <w:pPr>
        <w:pStyle w:val="Compact"/>
        <w:numPr>
          <w:ilvl w:val="0"/>
          <w:numId w:val="1014"/>
        </w:numPr>
      </w:pPr>
      <w:r>
        <w:t xml:space="preserve">Evidence confidence</w:t>
      </w:r>
    </w:p>
    <w:p>
      <w:pPr>
        <w:pStyle w:val="Compact"/>
        <w:numPr>
          <w:ilvl w:val="0"/>
          <w:numId w:val="1014"/>
        </w:numPr>
      </w:pPr>
      <w:r>
        <w:t xml:space="preserve">Recommended treatment</w:t>
      </w:r>
    </w:p>
    <w:p>
      <w:pPr>
        <w:pStyle w:val="Compact"/>
        <w:numPr>
          <w:ilvl w:val="0"/>
          <w:numId w:val="1014"/>
        </w:numPr>
      </w:pPr>
      <w:r>
        <w:t xml:space="preserve">Programme package linkage</w:t>
      </w:r>
    </w:p>
    <w:p>
      <w:pPr>
        <w:pStyle w:val="FirstParagraph"/>
      </w:pPr>
      <w:r>
        <w:t xml:space="preserve">The baseline must move beyond asset lists and create a hierarchy:</w:t>
      </w:r>
    </w:p>
    <w:p>
      <w:pPr>
        <w:pStyle w:val="BodyText"/>
      </w:pPr>
      <w:r>
        <w:rPr>
          <w:b/>
          <w:bCs/>
        </w:rPr>
        <w:t xml:space="preserve">Estate → Site → Process Area → SCADA System → Subsystem → Asset</w:t>
      </w:r>
    </w:p>
    <w:p>
      <w:pPr>
        <w:pStyle w:val="BodyText"/>
      </w:pPr>
      <w:r>
        <w:t xml:space="preserve">This allows hundreds or thousands of individual assets to roll up into manageable delivery packages.</w:t>
      </w:r>
    </w:p>
    <w:p>
      <w:r>
        <w:pict>
          <v:rect style="width:0;height:1.5pt" o:hralign="center" o:hrstd="t" o:hr="t"/>
        </w:pict>
      </w:r>
    </w:p>
    <w:bookmarkEnd w:id="28"/>
    <w:bookmarkStart w:id="29" w:name="layer-2-risk-and-evidence-assessment"/>
    <w:p>
      <w:pPr>
        <w:pStyle w:val="Heading3"/>
      </w:pPr>
      <w:r>
        <w:t xml:space="preserve">5.2 Layer 2: Risk and Evidence Assessment</w:t>
      </w:r>
    </w:p>
    <w:p>
      <w:pPr>
        <w:pStyle w:val="FirstParagraph"/>
      </w:pPr>
      <w:r>
        <w:t xml:space="preserve">The second layer determines what matters most.</w:t>
      </w:r>
    </w:p>
    <w:p>
      <w:pPr>
        <w:pStyle w:val="BodyText"/>
      </w:pPr>
      <w:r>
        <w:t xml:space="preserve">The framework should assess each system across four distinct dimensions:</w:t>
      </w:r>
    </w:p>
    <w:p>
      <w:pPr>
        <w:numPr>
          <w:ilvl w:val="0"/>
          <w:numId w:val="1015"/>
        </w:numPr>
      </w:pPr>
      <w:r>
        <w:rPr>
          <w:b/>
          <w:bCs/>
        </w:rPr>
        <w:t xml:space="preserve">Business Criticality</w:t>
      </w:r>
    </w:p>
    <w:p>
      <w:pPr>
        <w:pStyle w:val="Compact"/>
        <w:numPr>
          <w:ilvl w:val="1"/>
          <w:numId w:val="1016"/>
        </w:numPr>
      </w:pPr>
      <w:r>
        <w:t xml:space="preserve">Safety impact</w:t>
      </w:r>
    </w:p>
    <w:p>
      <w:pPr>
        <w:pStyle w:val="Compact"/>
        <w:numPr>
          <w:ilvl w:val="1"/>
          <w:numId w:val="1016"/>
        </w:numPr>
      </w:pPr>
      <w:r>
        <w:t xml:space="preserve">Environmental impact</w:t>
      </w:r>
    </w:p>
    <w:p>
      <w:pPr>
        <w:pStyle w:val="Compact"/>
        <w:numPr>
          <w:ilvl w:val="1"/>
          <w:numId w:val="1016"/>
        </w:numPr>
      </w:pPr>
      <w:r>
        <w:t xml:space="preserve">Regulatory impact</w:t>
      </w:r>
    </w:p>
    <w:p>
      <w:pPr>
        <w:pStyle w:val="Compact"/>
        <w:numPr>
          <w:ilvl w:val="1"/>
          <w:numId w:val="1016"/>
        </w:numPr>
      </w:pPr>
      <w:r>
        <w:t xml:space="preserve">Service continuity impact</w:t>
      </w:r>
    </w:p>
    <w:p>
      <w:pPr>
        <w:pStyle w:val="Compact"/>
        <w:numPr>
          <w:ilvl w:val="1"/>
          <w:numId w:val="1016"/>
        </w:numPr>
      </w:pPr>
      <w:r>
        <w:t xml:space="preserve">Production impact</w:t>
      </w:r>
    </w:p>
    <w:p>
      <w:pPr>
        <w:pStyle w:val="Compact"/>
        <w:numPr>
          <w:ilvl w:val="1"/>
          <w:numId w:val="1016"/>
        </w:numPr>
      </w:pPr>
      <w:r>
        <w:t xml:space="preserve">Customer impact</w:t>
      </w:r>
    </w:p>
    <w:p>
      <w:pPr>
        <w:pStyle w:val="Compact"/>
        <w:numPr>
          <w:ilvl w:val="1"/>
          <w:numId w:val="1016"/>
        </w:numPr>
      </w:pPr>
      <w:r>
        <w:t xml:space="preserve">Financial impact</w:t>
      </w:r>
    </w:p>
    <w:p>
      <w:pPr>
        <w:numPr>
          <w:ilvl w:val="0"/>
          <w:numId w:val="1015"/>
        </w:numPr>
      </w:pPr>
      <w:r>
        <w:rPr>
          <w:b/>
          <w:bCs/>
        </w:rPr>
        <w:t xml:space="preserve">Obsolescence Exposure</w:t>
      </w:r>
    </w:p>
    <w:p>
      <w:pPr>
        <w:pStyle w:val="Compact"/>
        <w:numPr>
          <w:ilvl w:val="1"/>
          <w:numId w:val="1017"/>
        </w:numPr>
      </w:pPr>
      <w:r>
        <w:t xml:space="preserve">Vendor support status</w:t>
      </w:r>
    </w:p>
    <w:p>
      <w:pPr>
        <w:pStyle w:val="Compact"/>
        <w:numPr>
          <w:ilvl w:val="1"/>
          <w:numId w:val="1017"/>
        </w:numPr>
      </w:pPr>
      <w:r>
        <w:t xml:space="preserve">End-of-life position</w:t>
      </w:r>
    </w:p>
    <w:p>
      <w:pPr>
        <w:pStyle w:val="Compact"/>
        <w:numPr>
          <w:ilvl w:val="1"/>
          <w:numId w:val="1017"/>
        </w:numPr>
      </w:pPr>
      <w:r>
        <w:t xml:space="preserve">Spare availability</w:t>
      </w:r>
    </w:p>
    <w:p>
      <w:pPr>
        <w:pStyle w:val="Compact"/>
        <w:numPr>
          <w:ilvl w:val="1"/>
          <w:numId w:val="1017"/>
        </w:numPr>
      </w:pPr>
      <w:r>
        <w:t xml:space="preserve">Hardware failure history</w:t>
      </w:r>
    </w:p>
    <w:p>
      <w:pPr>
        <w:pStyle w:val="Compact"/>
        <w:numPr>
          <w:ilvl w:val="1"/>
          <w:numId w:val="1017"/>
        </w:numPr>
      </w:pPr>
      <w:r>
        <w:t xml:space="preserve">Software and operating-system age</w:t>
      </w:r>
    </w:p>
    <w:p>
      <w:pPr>
        <w:pStyle w:val="Compact"/>
        <w:numPr>
          <w:ilvl w:val="1"/>
          <w:numId w:val="1017"/>
        </w:numPr>
      </w:pPr>
      <w:r>
        <w:t xml:space="preserve">Firmware risk</w:t>
      </w:r>
    </w:p>
    <w:p>
      <w:pPr>
        <w:pStyle w:val="Compact"/>
        <w:numPr>
          <w:ilvl w:val="1"/>
          <w:numId w:val="1017"/>
        </w:numPr>
      </w:pPr>
      <w:r>
        <w:t xml:space="preserve">Licence constraints</w:t>
      </w:r>
    </w:p>
    <w:p>
      <w:pPr>
        <w:pStyle w:val="Compact"/>
        <w:numPr>
          <w:ilvl w:val="1"/>
          <w:numId w:val="1017"/>
        </w:numPr>
      </w:pPr>
      <w:r>
        <w:t xml:space="preserve">Supplier dependency</w:t>
      </w:r>
    </w:p>
    <w:p>
      <w:pPr>
        <w:numPr>
          <w:ilvl w:val="0"/>
          <w:numId w:val="1015"/>
        </w:numPr>
      </w:pPr>
      <w:r>
        <w:rPr>
          <w:b/>
          <w:bCs/>
        </w:rPr>
        <w:t xml:space="preserve">Cyber and Recovery Exposure</w:t>
      </w:r>
    </w:p>
    <w:p>
      <w:pPr>
        <w:pStyle w:val="Compact"/>
        <w:numPr>
          <w:ilvl w:val="1"/>
          <w:numId w:val="1018"/>
        </w:numPr>
      </w:pPr>
      <w:r>
        <w:t xml:space="preserve">Network exposure</w:t>
      </w:r>
    </w:p>
    <w:p>
      <w:pPr>
        <w:pStyle w:val="Compact"/>
        <w:numPr>
          <w:ilvl w:val="1"/>
          <w:numId w:val="1018"/>
        </w:numPr>
      </w:pPr>
      <w:r>
        <w:t xml:space="preserve">Remote-access exposure</w:t>
      </w:r>
    </w:p>
    <w:p>
      <w:pPr>
        <w:pStyle w:val="Compact"/>
        <w:numPr>
          <w:ilvl w:val="1"/>
          <w:numId w:val="1018"/>
        </w:numPr>
      </w:pPr>
      <w:r>
        <w:t xml:space="preserve">Authentication weakness</w:t>
      </w:r>
    </w:p>
    <w:p>
      <w:pPr>
        <w:pStyle w:val="Compact"/>
        <w:numPr>
          <w:ilvl w:val="1"/>
          <w:numId w:val="1018"/>
        </w:numPr>
      </w:pPr>
      <w:r>
        <w:t xml:space="preserve">Patchability</w:t>
      </w:r>
    </w:p>
    <w:p>
      <w:pPr>
        <w:pStyle w:val="Compact"/>
        <w:numPr>
          <w:ilvl w:val="1"/>
          <w:numId w:val="1018"/>
        </w:numPr>
      </w:pPr>
      <w:r>
        <w:t xml:space="preserve">Backup status</w:t>
      </w:r>
    </w:p>
    <w:p>
      <w:pPr>
        <w:pStyle w:val="Compact"/>
        <w:numPr>
          <w:ilvl w:val="1"/>
          <w:numId w:val="1018"/>
        </w:numPr>
      </w:pPr>
      <w:r>
        <w:t xml:space="preserve">Last restore test</w:t>
      </w:r>
    </w:p>
    <w:p>
      <w:pPr>
        <w:pStyle w:val="Compact"/>
        <w:numPr>
          <w:ilvl w:val="1"/>
          <w:numId w:val="1018"/>
        </w:numPr>
      </w:pPr>
      <w:r>
        <w:t xml:space="preserve">Recovery time</w:t>
      </w:r>
    </w:p>
    <w:p>
      <w:pPr>
        <w:pStyle w:val="Compact"/>
        <w:numPr>
          <w:ilvl w:val="1"/>
          <w:numId w:val="1018"/>
        </w:numPr>
      </w:pPr>
      <w:r>
        <w:t xml:space="preserve">Monitoring and logging maturity</w:t>
      </w:r>
    </w:p>
    <w:p>
      <w:pPr>
        <w:numPr>
          <w:ilvl w:val="0"/>
          <w:numId w:val="1015"/>
        </w:numPr>
      </w:pPr>
      <w:r>
        <w:rPr>
          <w:b/>
          <w:bCs/>
        </w:rPr>
        <w:t xml:space="preserve">Evidence Confidence</w:t>
      </w:r>
    </w:p>
    <w:p>
      <w:pPr>
        <w:pStyle w:val="Compact"/>
        <w:numPr>
          <w:ilvl w:val="1"/>
          <w:numId w:val="1019"/>
        </w:numPr>
      </w:pPr>
      <w:r>
        <w:t xml:space="preserve">Confirmed by vendor</w:t>
      </w:r>
    </w:p>
    <w:p>
      <w:pPr>
        <w:pStyle w:val="Compact"/>
        <w:numPr>
          <w:ilvl w:val="1"/>
          <w:numId w:val="1019"/>
        </w:numPr>
      </w:pPr>
      <w:r>
        <w:t xml:space="preserve">Verified by inspection</w:t>
      </w:r>
    </w:p>
    <w:p>
      <w:pPr>
        <w:pStyle w:val="Compact"/>
        <w:numPr>
          <w:ilvl w:val="1"/>
          <w:numId w:val="1019"/>
        </w:numPr>
      </w:pPr>
      <w:r>
        <w:t xml:space="preserve">Verified by configuration export</w:t>
      </w:r>
    </w:p>
    <w:p>
      <w:pPr>
        <w:pStyle w:val="Compact"/>
        <w:numPr>
          <w:ilvl w:val="1"/>
          <w:numId w:val="1019"/>
        </w:numPr>
      </w:pPr>
      <w:r>
        <w:t xml:space="preserve">Inferred from documentation</w:t>
      </w:r>
    </w:p>
    <w:p>
      <w:pPr>
        <w:pStyle w:val="Compact"/>
        <w:numPr>
          <w:ilvl w:val="1"/>
          <w:numId w:val="1019"/>
        </w:numPr>
      </w:pPr>
      <w:r>
        <w:t xml:space="preserve">Unknown or unverified</w:t>
      </w:r>
    </w:p>
    <w:p>
      <w:pPr>
        <w:pStyle w:val="FirstParagraph"/>
      </w:pPr>
      <w:r>
        <w:t xml:space="preserve">The framework should avoid a single unexplained</w:t>
      </w:r>
      <w:r>
        <w:t xml:space="preserve"> </w:t>
      </w:r>
      <w:r>
        <w:t xml:space="preserve">“obsolescence score”</w:t>
      </w:r>
      <w:r>
        <w:t xml:space="preserve">. Instead, it should expose the contributing factors so business leaders can understand why one system is prioritised over another.</w:t>
      </w:r>
    </w:p>
    <w:p>
      <w:pPr>
        <w:pStyle w:val="BodyText"/>
      </w:pPr>
      <w:r>
        <w:t xml:space="preserve">Unknown information should not be treated as low risk. In SCADA environments, an unknown backup, unknown interface or unknown support status should be treated as a programme risk until verified.</w:t>
      </w:r>
    </w:p>
    <w:p>
      <w:r>
        <w:pict>
          <v:rect style="width:0;height:1.5pt" o:hralign="center" o:hrstd="t" o:hr="t"/>
        </w:pict>
      </w:r>
    </w:p>
    <w:bookmarkEnd w:id="29"/>
    <w:bookmarkStart w:id="30" w:name="X84d2b27b5e21908e7def545bf88b0afbb2b05a9"/>
    <w:p>
      <w:pPr>
        <w:pStyle w:val="Heading3"/>
      </w:pPr>
      <w:r>
        <w:t xml:space="preserve">5.3 Layer 3: Treatment and Investment Decisioning</w:t>
      </w:r>
    </w:p>
    <w:p>
      <w:pPr>
        <w:pStyle w:val="FirstParagraph"/>
      </w:pPr>
      <w:r>
        <w:t xml:space="preserve">Once risk is understood, each system should be assigned a treatment route.</w:t>
      </w:r>
    </w:p>
    <w:p>
      <w:pPr>
        <w:pStyle w:val="BodyText"/>
      </w:pPr>
      <w:r>
        <w:t xml:space="preserve">The main treatment options are: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Treatment</w:t>
            </w:r>
          </w:p>
        </w:tc>
        <w:tc>
          <w:tcPr/>
          <w:p>
            <w:pPr>
              <w:pStyle w:val="Compact"/>
            </w:pPr>
            <w:r>
              <w:t xml:space="preserve">Description</w:t>
            </w:r>
          </w:p>
        </w:tc>
      </w:tr>
      <w:tr>
        <w:tc>
          <w:tcPr/>
          <w:p>
            <w:pPr>
              <w:pStyle w:val="Compact"/>
            </w:pPr>
            <w:r>
              <w:rPr>
                <w:b/>
                <w:bCs/>
              </w:rPr>
              <w:t xml:space="preserve">Retain</w:t>
            </w:r>
          </w:p>
        </w:tc>
        <w:tc>
          <w:tcPr/>
          <w:p>
            <w:pPr>
              <w:pStyle w:val="Compact"/>
            </w:pPr>
            <w:r>
              <w:t xml:space="preserve">Keep system in place because risk is tolerable and support remains acceptable.</w:t>
            </w:r>
          </w:p>
        </w:tc>
      </w:tr>
      <w:tr>
        <w:tc>
          <w:tcPr/>
          <w:p>
            <w:pPr>
              <w:pStyle w:val="Compact"/>
            </w:pPr>
            <w:r>
              <w:rPr>
                <w:b/>
                <w:bCs/>
              </w:rPr>
              <w:t xml:space="preserve">Contain</w:t>
            </w:r>
          </w:p>
        </w:tc>
        <w:tc>
          <w:tcPr/>
          <w:p>
            <w:pPr>
              <w:pStyle w:val="Compact"/>
            </w:pPr>
            <w:r>
              <w:t xml:space="preserve">Apply compensating controls while a longer-term solution is developed.</w:t>
            </w:r>
          </w:p>
        </w:tc>
      </w:tr>
      <w:tr>
        <w:tc>
          <w:tcPr/>
          <w:p>
            <w:pPr>
              <w:pStyle w:val="Compact"/>
            </w:pPr>
            <w:r>
              <w:rPr>
                <w:b/>
                <w:bCs/>
              </w:rPr>
              <w:t xml:space="preserve">Upgrade</w:t>
            </w:r>
          </w:p>
        </w:tc>
        <w:tc>
          <w:tcPr/>
          <w:p>
            <w:pPr>
              <w:pStyle w:val="Compact"/>
            </w:pPr>
            <w:r>
              <w:t xml:space="preserve">Move to a supported version or refresh components while retaining the core platform.</w:t>
            </w:r>
          </w:p>
        </w:tc>
      </w:tr>
      <w:tr>
        <w:tc>
          <w:tcPr/>
          <w:p>
            <w:pPr>
              <w:pStyle w:val="Compact"/>
            </w:pPr>
            <w:r>
              <w:rPr>
                <w:b/>
                <w:bCs/>
              </w:rPr>
              <w:t xml:space="preserve">Replace</w:t>
            </w:r>
          </w:p>
        </w:tc>
        <w:tc>
          <w:tcPr/>
          <w:p>
            <w:pPr>
              <w:pStyle w:val="Compact"/>
            </w:pPr>
            <w:r>
              <w:t xml:space="preserve">Replace the system or major subsystem with a new supported solution.</w:t>
            </w:r>
          </w:p>
        </w:tc>
      </w:tr>
      <w:tr>
        <w:tc>
          <w:tcPr/>
          <w:p>
            <w:pPr>
              <w:pStyle w:val="Compact"/>
            </w:pPr>
            <w:r>
              <w:rPr>
                <w:b/>
                <w:bCs/>
              </w:rPr>
              <w:t xml:space="preserve">Redesign</w:t>
            </w:r>
          </w:p>
        </w:tc>
        <w:tc>
          <w:tcPr/>
          <w:p>
            <w:pPr>
              <w:pStyle w:val="Compact"/>
            </w:pPr>
            <w:r>
              <w:t xml:space="preserve">Re-architect where the existing model is no longer appropriate.</w:t>
            </w:r>
          </w:p>
        </w:tc>
      </w:tr>
      <w:tr>
        <w:tc>
          <w:tcPr/>
          <w:p>
            <w:pPr>
              <w:pStyle w:val="Compact"/>
            </w:pPr>
            <w:r>
              <w:rPr>
                <w:b/>
                <w:bCs/>
              </w:rPr>
              <w:t xml:space="preserve">Decommission</w:t>
            </w:r>
          </w:p>
        </w:tc>
        <w:tc>
          <w:tcPr/>
          <w:p>
            <w:pPr>
              <w:pStyle w:val="Compact"/>
            </w:pPr>
            <w:r>
              <w:t xml:space="preserve">Remove obsolete systems that are no longer required.</w:t>
            </w:r>
          </w:p>
        </w:tc>
      </w:tr>
    </w:tbl>
    <w:p>
      <w:pPr>
        <w:pStyle w:val="BodyText"/>
      </w:pPr>
      <w:r>
        <w:t xml:space="preserve">Treatment decisions should be made at system or subsystem level, not only at individual asset level.</w:t>
      </w:r>
    </w:p>
    <w:p>
      <w:pPr>
        <w:pStyle w:val="BodyText"/>
      </w:pPr>
      <w:r>
        <w:t xml:space="preserve">For example, replacing one unsupported operating system may not solve the underlying risk if the historian, communications gateway, remote access and PLC programming environment remain unsupported. The treatment route must consider the full control-chain dependency.</w:t>
      </w:r>
    </w:p>
    <w:p>
      <w:r>
        <w:pict>
          <v:rect style="width:0;height:1.5pt" o:hralign="center" o:hrstd="t" o:hr="t"/>
        </w:pict>
      </w:r>
    </w:p>
    <w:bookmarkEnd w:id="30"/>
    <w:bookmarkStart w:id="31" w:name="layer-4-programme-work-packages"/>
    <w:p>
      <w:pPr>
        <w:pStyle w:val="Heading3"/>
      </w:pPr>
      <w:r>
        <w:t xml:space="preserve">5.4 Layer 4: Programme Work Packages</w:t>
      </w:r>
    </w:p>
    <w:p>
      <w:pPr>
        <w:pStyle w:val="FirstParagraph"/>
      </w:pPr>
      <w:r>
        <w:t xml:space="preserve">The fourth layer converts the register into delivery.</w:t>
      </w:r>
    </w:p>
    <w:p>
      <w:pPr>
        <w:pStyle w:val="BodyText"/>
      </w:pPr>
      <w:r>
        <w:t xml:space="preserve">A work package should group related assets and risks into a deliverable unit. Work packages may be based on:</w:t>
      </w:r>
    </w:p>
    <w:p>
      <w:pPr>
        <w:pStyle w:val="Compact"/>
        <w:numPr>
          <w:ilvl w:val="0"/>
          <w:numId w:val="1020"/>
        </w:numPr>
      </w:pPr>
      <w:r>
        <w:t xml:space="preserve">Site</w:t>
      </w:r>
    </w:p>
    <w:p>
      <w:pPr>
        <w:pStyle w:val="Compact"/>
        <w:numPr>
          <w:ilvl w:val="0"/>
          <w:numId w:val="1020"/>
        </w:numPr>
      </w:pPr>
      <w:r>
        <w:t xml:space="preserve">Process area</w:t>
      </w:r>
    </w:p>
    <w:p>
      <w:pPr>
        <w:pStyle w:val="Compact"/>
        <w:numPr>
          <w:ilvl w:val="0"/>
          <w:numId w:val="1020"/>
        </w:numPr>
      </w:pPr>
      <w:r>
        <w:t xml:space="preserve">SCADA platform</w:t>
      </w:r>
    </w:p>
    <w:p>
      <w:pPr>
        <w:pStyle w:val="Compact"/>
        <w:numPr>
          <w:ilvl w:val="0"/>
          <w:numId w:val="1020"/>
        </w:numPr>
      </w:pPr>
      <w:r>
        <w:t xml:space="preserve">PLC or RTU family</w:t>
      </w:r>
    </w:p>
    <w:p>
      <w:pPr>
        <w:pStyle w:val="Compact"/>
        <w:numPr>
          <w:ilvl w:val="0"/>
          <w:numId w:val="1020"/>
        </w:numPr>
      </w:pPr>
      <w:r>
        <w:t xml:space="preserve">Network zone</w:t>
      </w:r>
    </w:p>
    <w:p>
      <w:pPr>
        <w:pStyle w:val="Compact"/>
        <w:numPr>
          <w:ilvl w:val="0"/>
          <w:numId w:val="1020"/>
        </w:numPr>
      </w:pPr>
      <w:r>
        <w:t xml:space="preserve">Common supplier</w:t>
      </w:r>
    </w:p>
    <w:p>
      <w:pPr>
        <w:pStyle w:val="Compact"/>
        <w:numPr>
          <w:ilvl w:val="0"/>
          <w:numId w:val="1020"/>
        </w:numPr>
      </w:pPr>
      <w:r>
        <w:t xml:space="preserve">Shared outage window</w:t>
      </w:r>
    </w:p>
    <w:p>
      <w:pPr>
        <w:pStyle w:val="Compact"/>
        <w:numPr>
          <w:ilvl w:val="0"/>
          <w:numId w:val="1020"/>
        </w:numPr>
      </w:pPr>
      <w:r>
        <w:t xml:space="preserve">Common target architecture</w:t>
      </w:r>
    </w:p>
    <w:p>
      <w:pPr>
        <w:pStyle w:val="Compact"/>
        <w:numPr>
          <w:ilvl w:val="0"/>
          <w:numId w:val="1020"/>
        </w:numPr>
      </w:pPr>
      <w:r>
        <w:t xml:space="preserve">Shared cyber or recovery issue</w:t>
      </w:r>
    </w:p>
    <w:p>
      <w:pPr>
        <w:pStyle w:val="FirstParagraph"/>
      </w:pPr>
      <w:r>
        <w:t xml:space="preserve">Each work package should include:</w:t>
      </w:r>
    </w:p>
    <w:p>
      <w:pPr>
        <w:pStyle w:val="Compact"/>
        <w:numPr>
          <w:ilvl w:val="0"/>
          <w:numId w:val="1021"/>
        </w:numPr>
      </w:pPr>
      <w:r>
        <w:t xml:space="preserve">Problem statement</w:t>
      </w:r>
    </w:p>
    <w:p>
      <w:pPr>
        <w:pStyle w:val="Compact"/>
        <w:numPr>
          <w:ilvl w:val="0"/>
          <w:numId w:val="1021"/>
        </w:numPr>
      </w:pPr>
      <w:r>
        <w:t xml:space="preserve">Scope</w:t>
      </w:r>
    </w:p>
    <w:p>
      <w:pPr>
        <w:pStyle w:val="Compact"/>
        <w:numPr>
          <w:ilvl w:val="0"/>
          <w:numId w:val="1021"/>
        </w:numPr>
      </w:pPr>
      <w:r>
        <w:t xml:space="preserve">Included systems and assets</w:t>
      </w:r>
    </w:p>
    <w:p>
      <w:pPr>
        <w:pStyle w:val="Compact"/>
        <w:numPr>
          <w:ilvl w:val="0"/>
          <w:numId w:val="1021"/>
        </w:numPr>
      </w:pPr>
      <w:r>
        <w:t xml:space="preserve">Operational consequence</w:t>
      </w:r>
    </w:p>
    <w:p>
      <w:pPr>
        <w:pStyle w:val="Compact"/>
        <w:numPr>
          <w:ilvl w:val="0"/>
          <w:numId w:val="1021"/>
        </w:numPr>
      </w:pPr>
      <w:r>
        <w:t xml:space="preserve">Cyber consequence</w:t>
      </w:r>
    </w:p>
    <w:p>
      <w:pPr>
        <w:pStyle w:val="Compact"/>
        <w:numPr>
          <w:ilvl w:val="0"/>
          <w:numId w:val="1021"/>
        </w:numPr>
      </w:pPr>
      <w:r>
        <w:t xml:space="preserve">Current controls</w:t>
      </w:r>
    </w:p>
    <w:p>
      <w:pPr>
        <w:pStyle w:val="Compact"/>
        <w:numPr>
          <w:ilvl w:val="0"/>
          <w:numId w:val="1021"/>
        </w:numPr>
      </w:pPr>
      <w:r>
        <w:t xml:space="preserve">Recommended treatment</w:t>
      </w:r>
    </w:p>
    <w:p>
      <w:pPr>
        <w:pStyle w:val="Compact"/>
        <w:numPr>
          <w:ilvl w:val="0"/>
          <w:numId w:val="1021"/>
        </w:numPr>
      </w:pPr>
      <w:r>
        <w:t xml:space="preserve">Target state</w:t>
      </w:r>
    </w:p>
    <w:p>
      <w:pPr>
        <w:pStyle w:val="Compact"/>
        <w:numPr>
          <w:ilvl w:val="0"/>
          <w:numId w:val="1021"/>
        </w:numPr>
      </w:pPr>
      <w:r>
        <w:t xml:space="preserve">Dependencies</w:t>
      </w:r>
    </w:p>
    <w:p>
      <w:pPr>
        <w:pStyle w:val="Compact"/>
        <w:numPr>
          <w:ilvl w:val="0"/>
          <w:numId w:val="1021"/>
        </w:numPr>
      </w:pPr>
      <w:r>
        <w:t xml:space="preserve">Commercial approach</w:t>
      </w:r>
    </w:p>
    <w:p>
      <w:pPr>
        <w:pStyle w:val="Compact"/>
        <w:numPr>
          <w:ilvl w:val="0"/>
          <w:numId w:val="1021"/>
        </w:numPr>
      </w:pPr>
      <w:r>
        <w:t xml:space="preserve">Rough-order cost</w:t>
      </w:r>
    </w:p>
    <w:p>
      <w:pPr>
        <w:pStyle w:val="Compact"/>
        <w:numPr>
          <w:ilvl w:val="0"/>
          <w:numId w:val="1021"/>
        </w:numPr>
      </w:pPr>
      <w:r>
        <w:t xml:space="preserve">Contingency</w:t>
      </w:r>
    </w:p>
    <w:p>
      <w:pPr>
        <w:pStyle w:val="Compact"/>
        <w:numPr>
          <w:ilvl w:val="0"/>
          <w:numId w:val="1021"/>
        </w:numPr>
      </w:pPr>
      <w:r>
        <w:t xml:space="preserve">Delivery wave</w:t>
      </w:r>
    </w:p>
    <w:p>
      <w:pPr>
        <w:pStyle w:val="Compact"/>
        <w:numPr>
          <w:ilvl w:val="0"/>
          <w:numId w:val="1021"/>
        </w:numPr>
      </w:pPr>
      <w:r>
        <w:t xml:space="preserve">Outage requirement</w:t>
      </w:r>
    </w:p>
    <w:p>
      <w:pPr>
        <w:pStyle w:val="Compact"/>
        <w:numPr>
          <w:ilvl w:val="0"/>
          <w:numId w:val="1021"/>
        </w:numPr>
      </w:pPr>
      <w:r>
        <w:t xml:space="preserve">Resource requirement</w:t>
      </w:r>
    </w:p>
    <w:p>
      <w:pPr>
        <w:pStyle w:val="Compact"/>
        <w:numPr>
          <w:ilvl w:val="0"/>
          <w:numId w:val="1021"/>
        </w:numPr>
      </w:pPr>
      <w:r>
        <w:t xml:space="preserve">Design status</w:t>
      </w:r>
    </w:p>
    <w:p>
      <w:pPr>
        <w:pStyle w:val="Compact"/>
        <w:numPr>
          <w:ilvl w:val="0"/>
          <w:numId w:val="1021"/>
        </w:numPr>
      </w:pPr>
      <w:r>
        <w:t xml:space="preserve">Test requirement</w:t>
      </w:r>
    </w:p>
    <w:p>
      <w:pPr>
        <w:pStyle w:val="Compact"/>
        <w:numPr>
          <w:ilvl w:val="0"/>
          <w:numId w:val="1021"/>
        </w:numPr>
      </w:pPr>
      <w:r>
        <w:t xml:space="preserve">Acceptance criteria</w:t>
      </w:r>
    </w:p>
    <w:p>
      <w:pPr>
        <w:pStyle w:val="Compact"/>
        <w:numPr>
          <w:ilvl w:val="0"/>
          <w:numId w:val="1021"/>
        </w:numPr>
      </w:pPr>
      <w:r>
        <w:t xml:space="preserve">Benefits</w:t>
      </w:r>
    </w:p>
    <w:p>
      <w:pPr>
        <w:pStyle w:val="Compact"/>
        <w:numPr>
          <w:ilvl w:val="0"/>
          <w:numId w:val="1021"/>
        </w:numPr>
      </w:pPr>
      <w:r>
        <w:t xml:space="preserve">Owner</w:t>
      </w:r>
    </w:p>
    <w:p>
      <w:pPr>
        <w:pStyle w:val="Compact"/>
        <w:numPr>
          <w:ilvl w:val="0"/>
          <w:numId w:val="1021"/>
        </w:numPr>
      </w:pPr>
      <w:r>
        <w:t xml:space="preserve">Current gate</w:t>
      </w:r>
    </w:p>
    <w:p>
      <w:pPr>
        <w:pStyle w:val="FirstParagraph"/>
      </w:pPr>
      <w:r>
        <w:t xml:space="preserve">This allows the executive team to fund and govern coherent packages rather than individual spreadsheet rows.</w:t>
      </w:r>
    </w:p>
    <w:p>
      <w:r>
        <w:pict>
          <v:rect style="width:0;height:1.5pt" o:hralign="center" o:hrstd="t" o:hr="t"/>
        </w:pict>
      </w:r>
    </w:p>
    <w:bookmarkEnd w:id="31"/>
    <w:bookmarkStart w:id="32" w:name="layer-5-lifecycle-governance"/>
    <w:p>
      <w:pPr>
        <w:pStyle w:val="Heading3"/>
      </w:pPr>
      <w:r>
        <w:t xml:space="preserve">5.5 Layer 5: Lifecycle Governance</w:t>
      </w:r>
    </w:p>
    <w:p>
      <w:pPr>
        <w:pStyle w:val="FirstParagraph"/>
      </w:pPr>
      <w:r>
        <w:t xml:space="preserve">The final layer prevents recurrence.</w:t>
      </w:r>
    </w:p>
    <w:p>
      <w:pPr>
        <w:pStyle w:val="BodyText"/>
      </w:pPr>
      <w:r>
        <w:t xml:space="preserve">Once the upgrade programme has delivered immediate risk reduction, the framework should become a permanent lifecycle-management capability.</w:t>
      </w:r>
    </w:p>
    <w:p>
      <w:pPr>
        <w:pStyle w:val="BodyText"/>
      </w:pPr>
      <w:r>
        <w:t xml:space="preserve">The ongoing process should include:</w:t>
      </w:r>
    </w:p>
    <w:p>
      <w:pPr>
        <w:pStyle w:val="Compact"/>
        <w:numPr>
          <w:ilvl w:val="0"/>
          <w:numId w:val="1022"/>
        </w:numPr>
      </w:pPr>
      <w:r>
        <w:t xml:space="preserve">Annual lifecycle review</w:t>
      </w:r>
    </w:p>
    <w:p>
      <w:pPr>
        <w:pStyle w:val="Compact"/>
        <w:numPr>
          <w:ilvl w:val="0"/>
          <w:numId w:val="1022"/>
        </w:numPr>
      </w:pPr>
      <w:r>
        <w:t xml:space="preserve">Quarterly high-risk review</w:t>
      </w:r>
    </w:p>
    <w:p>
      <w:pPr>
        <w:pStyle w:val="Compact"/>
        <w:numPr>
          <w:ilvl w:val="0"/>
          <w:numId w:val="1022"/>
        </w:numPr>
      </w:pPr>
      <w:r>
        <w:t xml:space="preserve">Supplier roadmap monitoring</w:t>
      </w:r>
    </w:p>
    <w:p>
      <w:pPr>
        <w:pStyle w:val="Compact"/>
        <w:numPr>
          <w:ilvl w:val="0"/>
          <w:numId w:val="1022"/>
        </w:numPr>
      </w:pPr>
      <w:r>
        <w:t xml:space="preserve">Support and end-of-life tracking</w:t>
      </w:r>
    </w:p>
    <w:p>
      <w:pPr>
        <w:pStyle w:val="Compact"/>
        <w:numPr>
          <w:ilvl w:val="0"/>
          <w:numId w:val="1022"/>
        </w:numPr>
      </w:pPr>
      <w:r>
        <w:t xml:space="preserve">Spare strategy refresh</w:t>
      </w:r>
    </w:p>
    <w:p>
      <w:pPr>
        <w:pStyle w:val="Compact"/>
        <w:numPr>
          <w:ilvl w:val="0"/>
          <w:numId w:val="1022"/>
        </w:numPr>
      </w:pPr>
      <w:r>
        <w:t xml:space="preserve">Backup and restore evidence reviews</w:t>
      </w:r>
    </w:p>
    <w:p>
      <w:pPr>
        <w:pStyle w:val="Compact"/>
        <w:numPr>
          <w:ilvl w:val="0"/>
          <w:numId w:val="1022"/>
        </w:numPr>
      </w:pPr>
      <w:r>
        <w:t xml:space="preserve">Cyber exposure review</w:t>
      </w:r>
    </w:p>
    <w:p>
      <w:pPr>
        <w:pStyle w:val="Compact"/>
        <w:numPr>
          <w:ilvl w:val="0"/>
          <w:numId w:val="1022"/>
        </w:numPr>
      </w:pPr>
      <w:r>
        <w:t xml:space="preserve">Architecture updates</w:t>
      </w:r>
    </w:p>
    <w:p>
      <w:pPr>
        <w:pStyle w:val="Compact"/>
        <w:numPr>
          <w:ilvl w:val="0"/>
          <w:numId w:val="1022"/>
        </w:numPr>
      </w:pPr>
      <w:r>
        <w:t xml:space="preserve">Capital forecasting</w:t>
      </w:r>
    </w:p>
    <w:p>
      <w:pPr>
        <w:pStyle w:val="Compact"/>
        <w:numPr>
          <w:ilvl w:val="0"/>
          <w:numId w:val="1022"/>
        </w:numPr>
      </w:pPr>
      <w:r>
        <w:t xml:space="preserve">Lessons learned from incidents and upgrades</w:t>
      </w:r>
    </w:p>
    <w:p>
      <w:pPr>
        <w:pStyle w:val="Compact"/>
        <w:numPr>
          <w:ilvl w:val="0"/>
          <w:numId w:val="1022"/>
        </w:numPr>
      </w:pPr>
      <w:r>
        <w:t xml:space="preserve">Updates to standards and procurement requirements</w:t>
      </w:r>
    </w:p>
    <w:p>
      <w:pPr>
        <w:pStyle w:val="FirstParagraph"/>
      </w:pPr>
      <w:r>
        <w:t xml:space="preserve">The intended outcome is to avoid future</w:t>
      </w:r>
      <w:r>
        <w:t xml:space="preserve"> </w:t>
      </w:r>
      <w:r>
        <w:t xml:space="preserve">“cliff edge”</w:t>
      </w:r>
      <w:r>
        <w:t xml:space="preserve"> </w:t>
      </w:r>
      <w:r>
        <w:t xml:space="preserve">obsolescence, where many critical systems become unsupported at the same time.</w:t>
      </w:r>
    </w:p>
    <w:p>
      <w:r>
        <w:pict>
          <v:rect style="width:0;height:1.5pt" o:hralign="center" o:hrstd="t" o:hr="t"/>
        </w:pict>
      </w:r>
    </w:p>
    <w:bookmarkEnd w:id="32"/>
    <w:bookmarkEnd w:id="33"/>
    <w:bookmarkStart w:id="37" w:name="dynamic-application-model"/>
    <w:p>
      <w:pPr>
        <w:pStyle w:val="Heading2"/>
      </w:pPr>
      <w:r>
        <w:t xml:space="preserve">6. Dynamic Application Model</w:t>
      </w:r>
    </w:p>
    <w:p>
      <w:pPr>
        <w:pStyle w:val="FirstParagraph"/>
      </w:pPr>
      <w:r>
        <w:t xml:space="preserve">The proposed application moves the organisation away from static files and into a governed digital platform.</w:t>
      </w:r>
    </w:p>
    <w:bookmarkStart w:id="34" w:name="front-end-user-interface"/>
    <w:p>
      <w:pPr>
        <w:pStyle w:val="Heading3"/>
      </w:pPr>
      <w:r>
        <w:t xml:space="preserve">6.1 Front-End User Interface</w:t>
      </w:r>
    </w:p>
    <w:p>
      <w:pPr>
        <w:pStyle w:val="FirstParagraph"/>
      </w:pPr>
      <w:r>
        <w:t xml:space="preserve">The front-end provides role-appropriate views for executives, programme leads, engineers and asset owners.</w:t>
      </w:r>
    </w:p>
    <w:p>
      <w:pPr>
        <w:pStyle w:val="BodyText"/>
      </w:pPr>
      <w:r>
        <w:t xml:space="preserve">Core UI functions include:</w:t>
      </w:r>
    </w:p>
    <w:p>
      <w:pPr>
        <w:pStyle w:val="Compact"/>
        <w:numPr>
          <w:ilvl w:val="0"/>
          <w:numId w:val="1023"/>
        </w:numPr>
      </w:pPr>
      <w:r>
        <w:t xml:space="preserve">Executive dashboard</w:t>
      </w:r>
    </w:p>
    <w:p>
      <w:pPr>
        <w:pStyle w:val="Compact"/>
        <w:numPr>
          <w:ilvl w:val="0"/>
          <w:numId w:val="1023"/>
        </w:numPr>
      </w:pPr>
      <w:r>
        <w:t xml:space="preserve">Risk heat map</w:t>
      </w:r>
    </w:p>
    <w:p>
      <w:pPr>
        <w:pStyle w:val="Compact"/>
        <w:numPr>
          <w:ilvl w:val="0"/>
          <w:numId w:val="1023"/>
        </w:numPr>
      </w:pPr>
      <w:r>
        <w:t xml:space="preserve">Asset register</w:t>
      </w:r>
    </w:p>
    <w:p>
      <w:pPr>
        <w:pStyle w:val="Compact"/>
        <w:numPr>
          <w:ilvl w:val="0"/>
          <w:numId w:val="1023"/>
        </w:numPr>
      </w:pPr>
      <w:r>
        <w:t xml:space="preserve">Site and system views</w:t>
      </w:r>
    </w:p>
    <w:p>
      <w:pPr>
        <w:pStyle w:val="Compact"/>
        <w:numPr>
          <w:ilvl w:val="0"/>
          <w:numId w:val="1023"/>
        </w:numPr>
      </w:pPr>
      <w:r>
        <w:t xml:space="preserve">Obsolescence status filters</w:t>
      </w:r>
    </w:p>
    <w:p>
      <w:pPr>
        <w:pStyle w:val="Compact"/>
        <w:numPr>
          <w:ilvl w:val="0"/>
          <w:numId w:val="1023"/>
        </w:numPr>
      </w:pPr>
      <w:r>
        <w:t xml:space="preserve">Delivery-wave filters</w:t>
      </w:r>
    </w:p>
    <w:p>
      <w:pPr>
        <w:pStyle w:val="Compact"/>
        <w:numPr>
          <w:ilvl w:val="0"/>
          <w:numId w:val="1023"/>
        </w:numPr>
      </w:pPr>
      <w:r>
        <w:t xml:space="preserve">Work-package management</w:t>
      </w:r>
    </w:p>
    <w:p>
      <w:pPr>
        <w:pStyle w:val="Compact"/>
        <w:numPr>
          <w:ilvl w:val="0"/>
          <w:numId w:val="1023"/>
        </w:numPr>
      </w:pPr>
      <w:r>
        <w:t xml:space="preserve">CSV import and export</w:t>
      </w:r>
    </w:p>
    <w:p>
      <w:pPr>
        <w:pStyle w:val="Compact"/>
        <w:numPr>
          <w:ilvl w:val="0"/>
          <w:numId w:val="1023"/>
        </w:numPr>
      </w:pPr>
      <w:r>
        <w:t xml:space="preserve">Edit and update forms</w:t>
      </w:r>
    </w:p>
    <w:p>
      <w:pPr>
        <w:pStyle w:val="Compact"/>
        <w:numPr>
          <w:ilvl w:val="0"/>
          <w:numId w:val="1023"/>
        </w:numPr>
      </w:pPr>
      <w:r>
        <w:t xml:space="preserve">Risk scoring visibility</w:t>
      </w:r>
    </w:p>
    <w:p>
      <w:pPr>
        <w:pStyle w:val="Compact"/>
        <w:numPr>
          <w:ilvl w:val="0"/>
          <w:numId w:val="1023"/>
        </w:numPr>
      </w:pPr>
      <w:r>
        <w:t xml:space="preserve">Audit and change history</w:t>
      </w:r>
    </w:p>
    <w:p>
      <w:pPr>
        <w:pStyle w:val="Compact"/>
        <w:numPr>
          <w:ilvl w:val="0"/>
          <w:numId w:val="1023"/>
        </w:numPr>
      </w:pPr>
      <w:r>
        <w:t xml:space="preserve">Data-quality indicators</w:t>
      </w:r>
    </w:p>
    <w:p>
      <w:pPr>
        <w:pStyle w:val="FirstParagraph"/>
      </w:pPr>
      <w:r>
        <w:t xml:space="preserve">The dashboard should allow leaders to see:</w:t>
      </w:r>
    </w:p>
    <w:p>
      <w:pPr>
        <w:pStyle w:val="Compact"/>
        <w:numPr>
          <w:ilvl w:val="0"/>
          <w:numId w:val="1024"/>
        </w:numPr>
      </w:pPr>
      <w:r>
        <w:t xml:space="preserve">Total assets</w:t>
      </w:r>
    </w:p>
    <w:p>
      <w:pPr>
        <w:pStyle w:val="Compact"/>
        <w:numPr>
          <w:ilvl w:val="0"/>
          <w:numId w:val="1024"/>
        </w:numPr>
      </w:pPr>
      <w:r>
        <w:t xml:space="preserve">Critical systems</w:t>
      </w:r>
    </w:p>
    <w:p>
      <w:pPr>
        <w:pStyle w:val="Compact"/>
        <w:numPr>
          <w:ilvl w:val="0"/>
          <w:numId w:val="1024"/>
        </w:numPr>
      </w:pPr>
      <w:r>
        <w:t xml:space="preserve">Unsupported assets</w:t>
      </w:r>
    </w:p>
    <w:p>
      <w:pPr>
        <w:pStyle w:val="Compact"/>
        <w:numPr>
          <w:ilvl w:val="0"/>
          <w:numId w:val="1024"/>
        </w:numPr>
      </w:pPr>
      <w:r>
        <w:t xml:space="preserve">High-risk systems</w:t>
      </w:r>
    </w:p>
    <w:p>
      <w:pPr>
        <w:pStyle w:val="Compact"/>
        <w:numPr>
          <w:ilvl w:val="0"/>
          <w:numId w:val="1024"/>
        </w:numPr>
      </w:pPr>
      <w:r>
        <w:t xml:space="preserve">Systems with unknown evidence</w:t>
      </w:r>
    </w:p>
    <w:p>
      <w:pPr>
        <w:pStyle w:val="Compact"/>
        <w:numPr>
          <w:ilvl w:val="0"/>
          <w:numId w:val="1024"/>
        </w:numPr>
      </w:pPr>
      <w:r>
        <w:t xml:space="preserve">Systems without verified backups</w:t>
      </w:r>
    </w:p>
    <w:p>
      <w:pPr>
        <w:pStyle w:val="Compact"/>
        <w:numPr>
          <w:ilvl w:val="0"/>
          <w:numId w:val="1024"/>
        </w:numPr>
      </w:pPr>
      <w:r>
        <w:t xml:space="preserve">Systems assigned to each delivery wave</w:t>
      </w:r>
    </w:p>
    <w:p>
      <w:pPr>
        <w:pStyle w:val="Compact"/>
        <w:numPr>
          <w:ilvl w:val="0"/>
          <w:numId w:val="1024"/>
        </w:numPr>
      </w:pPr>
      <w:r>
        <w:t xml:space="preserve">Budget exposure</w:t>
      </w:r>
    </w:p>
    <w:p>
      <w:pPr>
        <w:pStyle w:val="Compact"/>
        <w:numPr>
          <w:ilvl w:val="0"/>
          <w:numId w:val="1024"/>
        </w:numPr>
      </w:pPr>
      <w:r>
        <w:t xml:space="preserve">Risk reduction progress</w:t>
      </w:r>
    </w:p>
    <w:p>
      <w:pPr>
        <w:pStyle w:val="Compact"/>
        <w:numPr>
          <w:ilvl w:val="0"/>
          <w:numId w:val="1024"/>
        </w:numPr>
      </w:pPr>
      <w:r>
        <w:t xml:space="preserve">Programme delivery status</w:t>
      </w:r>
    </w:p>
    <w:bookmarkEnd w:id="34"/>
    <w:bookmarkStart w:id="35" w:name="back-end-data-platform"/>
    <w:p>
      <w:pPr>
        <w:pStyle w:val="Heading3"/>
      </w:pPr>
      <w:r>
        <w:t xml:space="preserve">6.2 Back-End Data Platform</w:t>
      </w:r>
    </w:p>
    <w:p>
      <w:pPr>
        <w:pStyle w:val="FirstParagraph"/>
      </w:pPr>
      <w:r>
        <w:t xml:space="preserve">The back-end provides structured data, business rules, workflow control and API access.</w:t>
      </w:r>
    </w:p>
    <w:p>
      <w:pPr>
        <w:pStyle w:val="BodyText"/>
      </w:pPr>
      <w:r>
        <w:t xml:space="preserve">Core back-end capabilities include:</w:t>
      </w:r>
    </w:p>
    <w:p>
      <w:pPr>
        <w:pStyle w:val="Compact"/>
        <w:numPr>
          <w:ilvl w:val="0"/>
          <w:numId w:val="1025"/>
        </w:numPr>
      </w:pPr>
      <w:r>
        <w:t xml:space="preserve">Relational database model</w:t>
      </w:r>
    </w:p>
    <w:p>
      <w:pPr>
        <w:pStyle w:val="Compact"/>
        <w:numPr>
          <w:ilvl w:val="0"/>
          <w:numId w:val="1025"/>
        </w:numPr>
      </w:pPr>
      <w:r>
        <w:t xml:space="preserve">Asset records</w:t>
      </w:r>
    </w:p>
    <w:p>
      <w:pPr>
        <w:pStyle w:val="Compact"/>
        <w:numPr>
          <w:ilvl w:val="0"/>
          <w:numId w:val="1025"/>
        </w:numPr>
      </w:pPr>
      <w:r>
        <w:t xml:space="preserve">System hierarchy</w:t>
      </w:r>
    </w:p>
    <w:p>
      <w:pPr>
        <w:pStyle w:val="Compact"/>
        <w:numPr>
          <w:ilvl w:val="0"/>
          <w:numId w:val="1025"/>
        </w:numPr>
      </w:pPr>
      <w:r>
        <w:t xml:space="preserve">Risk scoring</w:t>
      </w:r>
    </w:p>
    <w:p>
      <w:pPr>
        <w:pStyle w:val="Compact"/>
        <w:numPr>
          <w:ilvl w:val="0"/>
          <w:numId w:val="1025"/>
        </w:numPr>
      </w:pPr>
      <w:r>
        <w:t xml:space="preserve">Package management</w:t>
      </w:r>
    </w:p>
    <w:p>
      <w:pPr>
        <w:pStyle w:val="Compact"/>
        <w:numPr>
          <w:ilvl w:val="0"/>
          <w:numId w:val="1025"/>
        </w:numPr>
      </w:pPr>
      <w:r>
        <w:t xml:space="preserve">Evidence confidence tracking</w:t>
      </w:r>
    </w:p>
    <w:p>
      <w:pPr>
        <w:pStyle w:val="Compact"/>
        <w:numPr>
          <w:ilvl w:val="0"/>
          <w:numId w:val="1025"/>
        </w:numPr>
      </w:pPr>
      <w:r>
        <w:t xml:space="preserve">Programme gate tracking</w:t>
      </w:r>
    </w:p>
    <w:p>
      <w:pPr>
        <w:pStyle w:val="Compact"/>
        <w:numPr>
          <w:ilvl w:val="0"/>
          <w:numId w:val="1025"/>
        </w:numPr>
      </w:pPr>
      <w:r>
        <w:t xml:space="preserve">Audit log</w:t>
      </w:r>
    </w:p>
    <w:p>
      <w:pPr>
        <w:pStyle w:val="Compact"/>
        <w:numPr>
          <w:ilvl w:val="0"/>
          <w:numId w:val="1025"/>
        </w:numPr>
      </w:pPr>
      <w:r>
        <w:t xml:space="preserve">CSV import and export</w:t>
      </w:r>
    </w:p>
    <w:p>
      <w:pPr>
        <w:pStyle w:val="Compact"/>
        <w:numPr>
          <w:ilvl w:val="0"/>
          <w:numId w:val="1025"/>
        </w:numPr>
      </w:pPr>
      <w:r>
        <w:t xml:space="preserve">API endpoints</w:t>
      </w:r>
    </w:p>
    <w:p>
      <w:pPr>
        <w:pStyle w:val="Compact"/>
        <w:numPr>
          <w:ilvl w:val="0"/>
          <w:numId w:val="1025"/>
        </w:numPr>
      </w:pPr>
      <w:r>
        <w:t xml:space="preserve">User and role model readiness</w:t>
      </w:r>
    </w:p>
    <w:p>
      <w:pPr>
        <w:pStyle w:val="Compact"/>
        <w:numPr>
          <w:ilvl w:val="0"/>
          <w:numId w:val="1025"/>
        </w:numPr>
      </w:pPr>
      <w:r>
        <w:t xml:space="preserve">PostgreSQL migration path</w:t>
      </w:r>
    </w:p>
    <w:p>
      <w:pPr>
        <w:pStyle w:val="Compact"/>
        <w:numPr>
          <w:ilvl w:val="0"/>
          <w:numId w:val="1025"/>
        </w:numPr>
      </w:pPr>
      <w:r>
        <w:t xml:space="preserve">Integration readiness for enterprise reporting tools</w:t>
      </w:r>
    </w:p>
    <w:p>
      <w:pPr>
        <w:pStyle w:val="FirstParagraph"/>
      </w:pPr>
      <w:r>
        <w:t xml:space="preserve">The back end should become the system of record for SCADA obsolescence, with static exports used only for reporting or controlled data exchange.</w:t>
      </w:r>
    </w:p>
    <w:bookmarkEnd w:id="35"/>
    <w:bookmarkStart w:id="36" w:name="data-model"/>
    <w:p>
      <w:pPr>
        <w:pStyle w:val="Heading3"/>
      </w:pPr>
      <w:r>
        <w:t xml:space="preserve">6.3 Data Model</w:t>
      </w:r>
    </w:p>
    <w:p>
      <w:pPr>
        <w:pStyle w:val="FirstParagraph"/>
      </w:pPr>
      <w:r>
        <w:t xml:space="preserve">The minimum data model should include: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Entity</w:t>
            </w:r>
          </w:p>
        </w:tc>
        <w:tc>
          <w:tcPr/>
          <w:p>
            <w:pPr>
              <w:pStyle w:val="Compact"/>
            </w:pPr>
            <w:r>
              <w:t xml:space="preserve">Purpose</w:t>
            </w:r>
          </w:p>
        </w:tc>
      </w:tr>
      <w:tr>
        <w:tc>
          <w:tcPr/>
          <w:p>
            <w:pPr>
              <w:pStyle w:val="Compact"/>
            </w:pPr>
            <w:r>
              <w:rPr>
                <w:b/>
                <w:bCs/>
              </w:rPr>
              <w:t xml:space="preserve">Asset</w:t>
            </w:r>
          </w:p>
        </w:tc>
        <w:tc>
          <w:tcPr/>
          <w:p>
            <w:pPr>
              <w:pStyle w:val="Compact"/>
            </w:pPr>
            <w:r>
              <w:t xml:space="preserve">Individual hardware, software, firmware, licence or component record.</w:t>
            </w:r>
          </w:p>
        </w:tc>
      </w:tr>
      <w:tr>
        <w:tc>
          <w:tcPr/>
          <w:p>
            <w:pPr>
              <w:pStyle w:val="Compact"/>
            </w:pPr>
            <w:r>
              <w:rPr>
                <w:b/>
                <w:bCs/>
              </w:rPr>
              <w:t xml:space="preserve">System</w:t>
            </w:r>
          </w:p>
        </w:tc>
        <w:tc>
          <w:tcPr/>
          <w:p>
            <w:pPr>
              <w:pStyle w:val="Compact"/>
            </w:pPr>
            <w:r>
              <w:t xml:space="preserve">Logical SCADA or OT system grouping.</w:t>
            </w:r>
          </w:p>
        </w:tc>
      </w:tr>
      <w:tr>
        <w:tc>
          <w:tcPr/>
          <w:p>
            <w:pPr>
              <w:pStyle w:val="Compact"/>
            </w:pPr>
            <w:r>
              <w:rPr>
                <w:b/>
                <w:bCs/>
              </w:rPr>
              <w:t xml:space="preserve">Site</w:t>
            </w:r>
          </w:p>
        </w:tc>
        <w:tc>
          <w:tcPr/>
          <w:p>
            <w:pPr>
              <w:pStyle w:val="Compact"/>
            </w:pPr>
            <w:r>
              <w:t xml:space="preserve">Physical location or operational area.</w:t>
            </w:r>
          </w:p>
        </w:tc>
      </w:tr>
      <w:tr>
        <w:tc>
          <w:tcPr/>
          <w:p>
            <w:pPr>
              <w:pStyle w:val="Compact"/>
            </w:pPr>
            <w:r>
              <w:rPr>
                <w:b/>
                <w:bCs/>
              </w:rPr>
              <w:t xml:space="preserve">Dependency</w:t>
            </w:r>
          </w:p>
        </w:tc>
        <w:tc>
          <w:tcPr/>
          <w:p>
            <w:pPr>
              <w:pStyle w:val="Compact"/>
            </w:pPr>
            <w:r>
              <w:t xml:space="preserve">Link between systems, interfaces or services.</w:t>
            </w:r>
          </w:p>
        </w:tc>
      </w:tr>
      <w:tr>
        <w:tc>
          <w:tcPr/>
          <w:p>
            <w:pPr>
              <w:pStyle w:val="Compact"/>
            </w:pPr>
            <w:r>
              <w:rPr>
                <w:b/>
                <w:bCs/>
              </w:rPr>
              <w:t xml:space="preserve">Risk Assessment</w:t>
            </w:r>
          </w:p>
        </w:tc>
        <w:tc>
          <w:tcPr/>
          <w:p>
            <w:pPr>
              <w:pStyle w:val="Compact"/>
            </w:pPr>
            <w:r>
              <w:t xml:space="preserve">Criticality, obsolescence, cyber, recovery and confidence scoring.</w:t>
            </w:r>
          </w:p>
        </w:tc>
      </w:tr>
      <w:tr>
        <w:tc>
          <w:tcPr/>
          <w:p>
            <w:pPr>
              <w:pStyle w:val="Compact"/>
            </w:pPr>
            <w:r>
              <w:rPr>
                <w:b/>
                <w:bCs/>
              </w:rPr>
              <w:t xml:space="preserve">Treatment Plan</w:t>
            </w:r>
          </w:p>
        </w:tc>
        <w:tc>
          <w:tcPr/>
          <w:p>
            <w:pPr>
              <w:pStyle w:val="Compact"/>
            </w:pPr>
            <w:r>
              <w:t xml:space="preserve">Retain, contain, upgrade, replace, redesign or decommission decision.</w:t>
            </w:r>
          </w:p>
        </w:tc>
      </w:tr>
      <w:tr>
        <w:tc>
          <w:tcPr/>
          <w:p>
            <w:pPr>
              <w:pStyle w:val="Compact"/>
            </w:pPr>
            <w:r>
              <w:rPr>
                <w:b/>
                <w:bCs/>
              </w:rPr>
              <w:t xml:space="preserve">Programme Package</w:t>
            </w:r>
          </w:p>
        </w:tc>
        <w:tc>
          <w:tcPr/>
          <w:p>
            <w:pPr>
              <w:pStyle w:val="Compact"/>
            </w:pPr>
            <w:r>
              <w:t xml:space="preserve">Delivery unit linked to cost, schedule, scope and governance.</w:t>
            </w:r>
          </w:p>
        </w:tc>
      </w:tr>
      <w:tr>
        <w:tc>
          <w:tcPr/>
          <w:p>
            <w:pPr>
              <w:pStyle w:val="Compact"/>
            </w:pPr>
            <w:r>
              <w:rPr>
                <w:b/>
                <w:bCs/>
              </w:rPr>
              <w:t xml:space="preserve">Evidence Record</w:t>
            </w:r>
          </w:p>
        </w:tc>
        <w:tc>
          <w:tcPr/>
          <w:p>
            <w:pPr>
              <w:pStyle w:val="Compact"/>
            </w:pPr>
            <w:r>
              <w:t xml:space="preserve">Vendor notice, configuration export, inspection, backup test or support record.</w:t>
            </w:r>
          </w:p>
        </w:tc>
      </w:tr>
      <w:tr>
        <w:tc>
          <w:tcPr/>
          <w:p>
            <w:pPr>
              <w:pStyle w:val="Compact"/>
            </w:pPr>
            <w:r>
              <w:rPr>
                <w:b/>
                <w:bCs/>
              </w:rPr>
              <w:t xml:space="preserve">Audit Event</w:t>
            </w:r>
          </w:p>
        </w:tc>
        <w:tc>
          <w:tcPr/>
          <w:p>
            <w:pPr>
              <w:pStyle w:val="Compact"/>
            </w:pPr>
            <w:r>
              <w:t xml:space="preserve">Change history and decision traceability.</w:t>
            </w:r>
          </w:p>
        </w:tc>
      </w:tr>
      <w:tr>
        <w:tc>
          <w:tcPr/>
          <w:p>
            <w:pPr>
              <w:pStyle w:val="Compact"/>
            </w:pPr>
            <w:r>
              <w:rPr>
                <w:b/>
                <w:bCs/>
              </w:rPr>
              <w:t xml:space="preserve">Gate Status</w:t>
            </w:r>
          </w:p>
        </w:tc>
        <w:tc>
          <w:tcPr/>
          <w:p>
            <w:pPr>
              <w:pStyle w:val="Compact"/>
            </w:pPr>
            <w:r>
              <w:t xml:space="preserve">Current governance stage.</w:t>
            </w:r>
          </w:p>
        </w:tc>
      </w:tr>
    </w:tbl>
    <w:p>
      <w:pPr>
        <w:pStyle w:val="BodyText"/>
      </w:pPr>
      <w:r>
        <w:t xml:space="preserve">This structure allows the organisation to move from isolated asset records to connected portfolio intelligence.</w:t>
      </w:r>
    </w:p>
    <w:p>
      <w:r>
        <w:pict>
          <v:rect style="width:0;height:1.5pt" o:hralign="center" o:hrstd="t" o:hr="t"/>
        </w:pict>
      </w:r>
    </w:p>
    <w:bookmarkEnd w:id="36"/>
    <w:bookmarkEnd w:id="37"/>
    <w:bookmarkStart w:id="40" w:name="governance-and-operating-model"/>
    <w:p>
      <w:pPr>
        <w:pStyle w:val="Heading2"/>
      </w:pPr>
      <w:r>
        <w:t xml:space="preserve">7. Governance and Operating Model</w:t>
      </w:r>
    </w:p>
    <w:bookmarkStart w:id="38" w:name="programme-governance"/>
    <w:p>
      <w:pPr>
        <w:pStyle w:val="Heading3"/>
      </w:pPr>
      <w:r>
        <w:t xml:space="preserve">7.1 Programme Governance</w:t>
      </w:r>
    </w:p>
    <w:p>
      <w:pPr>
        <w:pStyle w:val="FirstParagraph"/>
      </w:pPr>
      <w:r>
        <w:t xml:space="preserve">The SCADA Obsolescence Programme should have clear decision rights.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Accountability</w:t>
            </w:r>
          </w:p>
        </w:tc>
      </w:tr>
      <w:tr>
        <w:tc>
          <w:tcPr/>
          <w:p>
            <w:pPr>
              <w:pStyle w:val="Compact"/>
            </w:pPr>
            <w:r>
              <w:rPr>
                <w:b/>
                <w:bCs/>
              </w:rPr>
              <w:t xml:space="preserve">Executive Sponsor</w:t>
            </w:r>
          </w:p>
        </w:tc>
        <w:tc>
          <w:tcPr/>
          <w:p>
            <w:pPr>
              <w:pStyle w:val="Compact"/>
            </w:pPr>
            <w:r>
              <w:t xml:space="preserve">Owns strategic priority, funding and risk acceptance.</w:t>
            </w:r>
          </w:p>
        </w:tc>
      </w:tr>
      <w:tr>
        <w:tc>
          <w:tcPr/>
          <w:p>
            <w:pPr>
              <w:pStyle w:val="Compact"/>
            </w:pPr>
            <w:r>
              <w:rPr>
                <w:b/>
                <w:bCs/>
              </w:rPr>
              <w:t xml:space="preserve">Programme Board</w:t>
            </w:r>
          </w:p>
        </w:tc>
        <w:tc>
          <w:tcPr/>
          <w:p>
            <w:pPr>
              <w:pStyle w:val="Compact"/>
            </w:pPr>
            <w:r>
              <w:t xml:space="preserve">Approves scope, prioritisation, budget, delivery waves and escalations.</w:t>
            </w:r>
          </w:p>
        </w:tc>
      </w:tr>
      <w:tr>
        <w:tc>
          <w:tcPr/>
          <w:p>
            <w:pPr>
              <w:pStyle w:val="Compact"/>
            </w:pPr>
            <w:r>
              <w:rPr>
                <w:b/>
                <w:bCs/>
              </w:rPr>
              <w:t xml:space="preserve">Operations Owner</w:t>
            </w:r>
          </w:p>
        </w:tc>
        <w:tc>
          <w:tcPr/>
          <w:p>
            <w:pPr>
              <w:pStyle w:val="Compact"/>
            </w:pPr>
            <w:r>
              <w:t xml:space="preserve">Owns operational impact, outage windows and acceptance.</w:t>
            </w:r>
          </w:p>
        </w:tc>
      </w:tr>
      <w:tr>
        <w:tc>
          <w:tcPr/>
          <w:p>
            <w:pPr>
              <w:pStyle w:val="Compact"/>
            </w:pPr>
            <w:r>
              <w:rPr>
                <w:b/>
                <w:bCs/>
              </w:rPr>
              <w:t xml:space="preserve">OT Engineering Lead</w:t>
            </w:r>
          </w:p>
        </w:tc>
        <w:tc>
          <w:tcPr/>
          <w:p>
            <w:pPr>
              <w:pStyle w:val="Compact"/>
            </w:pPr>
            <w:r>
              <w:t xml:space="preserve">Owns technical baseline, design integrity and migration approach.</w:t>
            </w:r>
          </w:p>
        </w:tc>
      </w:tr>
      <w:tr>
        <w:tc>
          <w:tcPr/>
          <w:p>
            <w:pPr>
              <w:pStyle w:val="Compact"/>
            </w:pPr>
            <w:r>
              <w:rPr>
                <w:b/>
                <w:bCs/>
              </w:rPr>
              <w:t xml:space="preserve">Cybersecurity Lead</w:t>
            </w:r>
          </w:p>
        </w:tc>
        <w:tc>
          <w:tcPr/>
          <w:p>
            <w:pPr>
              <w:pStyle w:val="Compact"/>
            </w:pPr>
            <w:r>
              <w:t xml:space="preserve">Owns security requirements, access control, monitoring and assurance.</w:t>
            </w:r>
          </w:p>
        </w:tc>
      </w:tr>
      <w:tr>
        <w:tc>
          <w:tcPr/>
          <w:p>
            <w:pPr>
              <w:pStyle w:val="Compact"/>
            </w:pPr>
            <w:r>
              <w:rPr>
                <w:b/>
                <w:bCs/>
              </w:rPr>
              <w:t xml:space="preserve">Safety / HSE Lead</w:t>
            </w:r>
          </w:p>
        </w:tc>
        <w:tc>
          <w:tcPr/>
          <w:p>
            <w:pPr>
              <w:pStyle w:val="Compact"/>
            </w:pPr>
            <w:r>
              <w:t xml:space="preserve">Owns safety and environmental impact assessment.</w:t>
            </w:r>
          </w:p>
        </w:tc>
      </w:tr>
      <w:tr>
        <w:tc>
          <w:tcPr/>
          <w:p>
            <w:pPr>
              <w:pStyle w:val="Compact"/>
            </w:pPr>
            <w:r>
              <w:rPr>
                <w:b/>
                <w:bCs/>
              </w:rPr>
              <w:t xml:space="preserve">IT Infrastructure Lead</w:t>
            </w:r>
          </w:p>
        </w:tc>
        <w:tc>
          <w:tcPr/>
          <w:p>
            <w:pPr>
              <w:pStyle w:val="Compact"/>
            </w:pPr>
            <w:r>
              <w:t xml:space="preserve">Owns hosting, network, backup, identity and enterprise integrations.</w:t>
            </w:r>
          </w:p>
        </w:tc>
      </w:tr>
      <w:tr>
        <w:tc>
          <w:tcPr/>
          <w:p>
            <w:pPr>
              <w:pStyle w:val="Compact"/>
            </w:pPr>
            <w:r>
              <w:rPr>
                <w:b/>
                <w:bCs/>
              </w:rPr>
              <w:t xml:space="preserve">Procurement Lead</w:t>
            </w:r>
          </w:p>
        </w:tc>
        <w:tc>
          <w:tcPr/>
          <w:p>
            <w:pPr>
              <w:pStyle w:val="Compact"/>
            </w:pPr>
            <w:r>
              <w:t xml:space="preserve">Owns supplier strategy, commercial controls and contract requirements.</w:t>
            </w:r>
          </w:p>
        </w:tc>
      </w:tr>
      <w:tr>
        <w:tc>
          <w:tcPr/>
          <w:p>
            <w:pPr>
              <w:pStyle w:val="Compact"/>
            </w:pPr>
            <w:r>
              <w:rPr>
                <w:b/>
                <w:bCs/>
              </w:rPr>
              <w:t xml:space="preserve">Site Leads</w:t>
            </w:r>
          </w:p>
        </w:tc>
        <w:tc>
          <w:tcPr/>
          <w:p>
            <w:pPr>
              <w:pStyle w:val="Compact"/>
            </w:pPr>
            <w:r>
              <w:t xml:space="preserve">Own local validation, readiness and implementation coordination.</w:t>
            </w:r>
          </w:p>
        </w:tc>
      </w:tr>
      <w:tr>
        <w:tc>
          <w:tcPr/>
          <w:p>
            <w:pPr>
              <w:pStyle w:val="Compact"/>
            </w:pPr>
            <w:r>
              <w:rPr>
                <w:b/>
                <w:bCs/>
              </w:rPr>
              <w:t xml:space="preserve">Data Owner</w:t>
            </w:r>
          </w:p>
        </w:tc>
        <w:tc>
          <w:tcPr/>
          <w:p>
            <w:pPr>
              <w:pStyle w:val="Compact"/>
            </w:pPr>
            <w:r>
              <w:t xml:space="preserve">Owns register quality, evidence confidence and reporting integrity.</w:t>
            </w:r>
          </w:p>
        </w:tc>
      </w:tr>
    </w:tbl>
    <w:bookmarkEnd w:id="38"/>
    <w:bookmarkStart w:id="39" w:name="programme-gates"/>
    <w:p>
      <w:pPr>
        <w:pStyle w:val="Heading3"/>
      </w:pPr>
      <w:r>
        <w:t xml:space="preserve">7.2 Programme Gates</w:t>
      </w:r>
    </w:p>
    <w:p>
      <w:pPr>
        <w:pStyle w:val="FirstParagraph"/>
      </w:pPr>
      <w:r>
        <w:t xml:space="preserve">Each work package should move through a formal gate process: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Gate</w:t>
            </w:r>
          </w:p>
        </w:tc>
        <w:tc>
          <w:tcPr/>
          <w:p>
            <w:pPr>
              <w:pStyle w:val="Compact"/>
            </w:pPr>
            <w:r>
              <w:t xml:space="preserve">Purpose</w:t>
            </w:r>
          </w:p>
        </w:tc>
      </w:tr>
      <w:tr>
        <w:tc>
          <w:tcPr/>
          <w:p>
            <w:pPr>
              <w:pStyle w:val="Compact"/>
            </w:pPr>
            <w:r>
              <w:rPr>
                <w:b/>
                <w:bCs/>
              </w:rPr>
              <w:t xml:space="preserve">G0: Intake Accepted</w:t>
            </w:r>
          </w:p>
        </w:tc>
        <w:tc>
          <w:tcPr/>
          <w:p>
            <w:pPr>
              <w:pStyle w:val="Compact"/>
            </w:pPr>
            <w:r>
              <w:t xml:space="preserve">Scope and ownership identified.</w:t>
            </w:r>
          </w:p>
        </w:tc>
      </w:tr>
      <w:tr>
        <w:tc>
          <w:tcPr/>
          <w:p>
            <w:pPr>
              <w:pStyle w:val="Compact"/>
            </w:pPr>
            <w:r>
              <w:rPr>
                <w:b/>
                <w:bCs/>
              </w:rPr>
              <w:t xml:space="preserve">G1: Baseline Verified</w:t>
            </w:r>
          </w:p>
        </w:tc>
        <w:tc>
          <w:tcPr/>
          <w:p>
            <w:pPr>
              <w:pStyle w:val="Compact"/>
            </w:pPr>
            <w:r>
              <w:t xml:space="preserve">Asset, system and dependency data validated.</w:t>
            </w:r>
          </w:p>
        </w:tc>
      </w:tr>
      <w:tr>
        <w:tc>
          <w:tcPr/>
          <w:p>
            <w:pPr>
              <w:pStyle w:val="Compact"/>
            </w:pPr>
            <w:r>
              <w:rPr>
                <w:b/>
                <w:bCs/>
              </w:rPr>
              <w:t xml:space="preserve">G2: Risk Confirmed</w:t>
            </w:r>
          </w:p>
        </w:tc>
        <w:tc>
          <w:tcPr/>
          <w:p>
            <w:pPr>
              <w:pStyle w:val="Compact"/>
            </w:pPr>
            <w:r>
              <w:t xml:space="preserve">Criticality, obsolescence, cyber and recovery risk assessed.</w:t>
            </w:r>
          </w:p>
        </w:tc>
      </w:tr>
      <w:tr>
        <w:tc>
          <w:tcPr/>
          <w:p>
            <w:pPr>
              <w:pStyle w:val="Compact"/>
            </w:pPr>
            <w:r>
              <w:rPr>
                <w:b/>
                <w:bCs/>
              </w:rPr>
              <w:t xml:space="preserve">G3: Treatment Selected</w:t>
            </w:r>
          </w:p>
        </w:tc>
        <w:tc>
          <w:tcPr/>
          <w:p>
            <w:pPr>
              <w:pStyle w:val="Compact"/>
            </w:pPr>
            <w:r>
              <w:t xml:space="preserve">Retain, contain, upgrade, replace, redesign or decommission agreed.</w:t>
            </w:r>
          </w:p>
        </w:tc>
      </w:tr>
      <w:tr>
        <w:tc>
          <w:tcPr/>
          <w:p>
            <w:pPr>
              <w:pStyle w:val="Compact"/>
            </w:pPr>
            <w:r>
              <w:rPr>
                <w:b/>
                <w:bCs/>
              </w:rPr>
              <w:t xml:space="preserve">G4: Business Case Approved</w:t>
            </w:r>
          </w:p>
        </w:tc>
        <w:tc>
          <w:tcPr/>
          <w:p>
            <w:pPr>
              <w:pStyle w:val="Compact"/>
            </w:pPr>
            <w:r>
              <w:t xml:space="preserve">Cost, benefit, risk reduction and delivery window approved.</w:t>
            </w:r>
          </w:p>
        </w:tc>
      </w:tr>
      <w:tr>
        <w:tc>
          <w:tcPr/>
          <w:p>
            <w:pPr>
              <w:pStyle w:val="Compact"/>
            </w:pPr>
            <w:r>
              <w:rPr>
                <w:b/>
                <w:bCs/>
              </w:rPr>
              <w:t xml:space="preserve">G5: Design Approved</w:t>
            </w:r>
          </w:p>
        </w:tc>
        <w:tc>
          <w:tcPr/>
          <w:p>
            <w:pPr>
              <w:pStyle w:val="Compact"/>
            </w:pPr>
            <w:r>
              <w:t xml:space="preserve">Technical, cyber, safety and operational design accepted.</w:t>
            </w:r>
          </w:p>
        </w:tc>
      </w:tr>
      <w:tr>
        <w:tc>
          <w:tcPr/>
          <w:p>
            <w:pPr>
              <w:pStyle w:val="Compact"/>
            </w:pPr>
            <w:r>
              <w:rPr>
                <w:b/>
                <w:bCs/>
              </w:rPr>
              <w:t xml:space="preserve">G6: Ready for Delivery</w:t>
            </w:r>
          </w:p>
        </w:tc>
        <w:tc>
          <w:tcPr/>
          <w:p>
            <w:pPr>
              <w:pStyle w:val="Compact"/>
            </w:pPr>
            <w:r>
              <w:t xml:space="preserve">Resources, outage, backup, rollback, test and procurement readiness confirmed.</w:t>
            </w:r>
          </w:p>
        </w:tc>
      </w:tr>
      <w:tr>
        <w:tc>
          <w:tcPr/>
          <w:p>
            <w:pPr>
              <w:pStyle w:val="Compact"/>
            </w:pPr>
            <w:r>
              <w:rPr>
                <w:b/>
                <w:bCs/>
              </w:rPr>
              <w:t xml:space="preserve">G7: Operational Acceptance</w:t>
            </w:r>
          </w:p>
        </w:tc>
        <w:tc>
          <w:tcPr/>
          <w:p>
            <w:pPr>
              <w:pStyle w:val="Compact"/>
            </w:pPr>
            <w:r>
              <w:t xml:space="preserve">Site acceptance, support handover and documentation completed.</w:t>
            </w:r>
          </w:p>
        </w:tc>
      </w:tr>
      <w:tr>
        <w:tc>
          <w:tcPr/>
          <w:p>
            <w:pPr>
              <w:pStyle w:val="Compact"/>
            </w:pPr>
            <w:r>
              <w:rPr>
                <w:b/>
                <w:bCs/>
              </w:rPr>
              <w:t xml:space="preserve">G8: Closure and Benefits</w:t>
            </w:r>
          </w:p>
        </w:tc>
        <w:tc>
          <w:tcPr/>
          <w:p>
            <w:pPr>
              <w:pStyle w:val="Compact"/>
            </w:pPr>
            <w:r>
              <w:t xml:space="preserve">Risk retired, benefits measured and old systems decommissioned.</w:t>
            </w:r>
          </w:p>
        </w:tc>
      </w:tr>
    </w:tbl>
    <w:p>
      <w:pPr>
        <w:pStyle w:val="BodyText"/>
      </w:pPr>
      <w:r>
        <w:t xml:space="preserve">This gives executives assurance that delivery is controlled, evidence-based and auditable.</w:t>
      </w:r>
    </w:p>
    <w:p>
      <w:r>
        <w:pict>
          <v:rect style="width:0;height:1.5pt" o:hralign="center" o:hrstd="t" o:hr="t"/>
        </w:pict>
      </w:r>
    </w:p>
    <w:bookmarkEnd w:id="39"/>
    <w:bookmarkEnd w:id="40"/>
    <w:bookmarkStart w:id="45" w:name="programme-delivery-model"/>
    <w:p>
      <w:pPr>
        <w:pStyle w:val="Heading2"/>
      </w:pPr>
      <w:r>
        <w:t xml:space="preserve">8. Programme Delivery Model</w:t>
      </w:r>
    </w:p>
    <w:p>
      <w:pPr>
        <w:pStyle w:val="FirstParagraph"/>
      </w:pPr>
      <w:r>
        <w:t xml:space="preserve">The programme should run at two speeds.</w:t>
      </w:r>
    </w:p>
    <w:bookmarkStart w:id="41" w:name="wave-0-immediate-containment"/>
    <w:p>
      <w:pPr>
        <w:pStyle w:val="Heading3"/>
      </w:pPr>
      <w:r>
        <w:t xml:space="preserve">8.1 Wave 0: Immediate Containment</w:t>
      </w:r>
    </w:p>
    <w:p>
      <w:pPr>
        <w:pStyle w:val="FirstParagraph"/>
      </w:pPr>
      <w:r>
        <w:t xml:space="preserve">Wave 0 should address urgent known risks while the broader portfolio is being refined.</w:t>
      </w:r>
    </w:p>
    <w:p>
      <w:pPr>
        <w:pStyle w:val="BodyText"/>
      </w:pPr>
      <w:r>
        <w:t xml:space="preserve">Typical Wave 0 activities include:</w:t>
      </w:r>
    </w:p>
    <w:p>
      <w:pPr>
        <w:pStyle w:val="Compact"/>
        <w:numPr>
          <w:ilvl w:val="0"/>
          <w:numId w:val="1026"/>
        </w:numPr>
      </w:pPr>
      <w:r>
        <w:t xml:space="preserve">Validate backups for critical systems.</w:t>
      </w:r>
    </w:p>
    <w:p>
      <w:pPr>
        <w:pStyle w:val="Compact"/>
        <w:numPr>
          <w:ilvl w:val="0"/>
          <w:numId w:val="1026"/>
        </w:numPr>
      </w:pPr>
      <w:r>
        <w:t xml:space="preserve">Capture PLC and SCADA configurations.</w:t>
      </w:r>
    </w:p>
    <w:p>
      <w:pPr>
        <w:pStyle w:val="Compact"/>
        <w:numPr>
          <w:ilvl w:val="0"/>
          <w:numId w:val="1026"/>
        </w:numPr>
      </w:pPr>
      <w:r>
        <w:t xml:space="preserve">Secure critical spares.</w:t>
      </w:r>
    </w:p>
    <w:p>
      <w:pPr>
        <w:pStyle w:val="Compact"/>
        <w:numPr>
          <w:ilvl w:val="0"/>
          <w:numId w:val="1026"/>
        </w:numPr>
      </w:pPr>
      <w:r>
        <w:t xml:space="preserve">Remove uncontrolled remote access.</w:t>
      </w:r>
    </w:p>
    <w:p>
      <w:pPr>
        <w:pStyle w:val="Compact"/>
        <w:numPr>
          <w:ilvl w:val="0"/>
          <w:numId w:val="1026"/>
        </w:numPr>
      </w:pPr>
      <w:r>
        <w:t xml:space="preserve">Apply temporary support extensions.</w:t>
      </w:r>
    </w:p>
    <w:p>
      <w:pPr>
        <w:pStyle w:val="Compact"/>
        <w:numPr>
          <w:ilvl w:val="0"/>
          <w:numId w:val="1026"/>
        </w:numPr>
      </w:pPr>
      <w:r>
        <w:t xml:space="preserve">Isolate unsupported systems where possible.</w:t>
      </w:r>
    </w:p>
    <w:p>
      <w:pPr>
        <w:pStyle w:val="Compact"/>
        <w:numPr>
          <w:ilvl w:val="0"/>
          <w:numId w:val="1026"/>
        </w:numPr>
      </w:pPr>
      <w:r>
        <w:t xml:space="preserve">Establish manual fallback procedures.</w:t>
      </w:r>
    </w:p>
    <w:p>
      <w:pPr>
        <w:pStyle w:val="Compact"/>
        <w:numPr>
          <w:ilvl w:val="0"/>
          <w:numId w:val="1026"/>
        </w:numPr>
      </w:pPr>
      <w:r>
        <w:t xml:space="preserve">Create recovery images for key workstations and servers.</w:t>
      </w:r>
    </w:p>
    <w:p>
      <w:pPr>
        <w:pStyle w:val="Compact"/>
        <w:numPr>
          <w:ilvl w:val="0"/>
          <w:numId w:val="1026"/>
        </w:numPr>
      </w:pPr>
      <w:r>
        <w:t xml:space="preserve">Document high-risk dependencies.</w:t>
      </w:r>
    </w:p>
    <w:p>
      <w:pPr>
        <w:pStyle w:val="Compact"/>
        <w:numPr>
          <w:ilvl w:val="0"/>
          <w:numId w:val="1026"/>
        </w:numPr>
      </w:pPr>
      <w:r>
        <w:t xml:space="preserve">Confirm emergency supplier contacts.</w:t>
      </w:r>
    </w:p>
    <w:p>
      <w:pPr>
        <w:pStyle w:val="FirstParagraph"/>
      </w:pPr>
      <w:r>
        <w:t xml:space="preserve">Wave 0 should not become the permanent solution. It buys down immediate risk while full upgrades are planned.</w:t>
      </w:r>
    </w:p>
    <w:bookmarkEnd w:id="41"/>
    <w:bookmarkStart w:id="42" w:name="wave-1-critical-system-renewal"/>
    <w:p>
      <w:pPr>
        <w:pStyle w:val="Heading3"/>
      </w:pPr>
      <w:r>
        <w:t xml:space="preserve">8.2 Wave 1: Critical System Renewal</w:t>
      </w:r>
    </w:p>
    <w:p>
      <w:pPr>
        <w:pStyle w:val="FirstParagraph"/>
      </w:pPr>
      <w:r>
        <w:t xml:space="preserve">Wave 1 should address systems with the highest combination of consequence, obsolescence exposure and poor recoverability.</w:t>
      </w:r>
    </w:p>
    <w:p>
      <w:pPr>
        <w:pStyle w:val="BodyText"/>
      </w:pPr>
      <w:r>
        <w:t xml:space="preserve">Typical candidates include:</w:t>
      </w:r>
    </w:p>
    <w:p>
      <w:pPr>
        <w:pStyle w:val="Compact"/>
        <w:numPr>
          <w:ilvl w:val="0"/>
          <w:numId w:val="1027"/>
        </w:numPr>
      </w:pPr>
      <w:r>
        <w:t xml:space="preserve">Unsupported SCADA platforms controlling critical operations.</w:t>
      </w:r>
    </w:p>
    <w:p>
      <w:pPr>
        <w:pStyle w:val="Compact"/>
        <w:numPr>
          <w:ilvl w:val="0"/>
          <w:numId w:val="1027"/>
        </w:numPr>
      </w:pPr>
      <w:r>
        <w:t xml:space="preserve">Systems with no viable spare or recovery path.</w:t>
      </w:r>
    </w:p>
    <w:p>
      <w:pPr>
        <w:pStyle w:val="Compact"/>
        <w:numPr>
          <w:ilvl w:val="0"/>
          <w:numId w:val="1027"/>
        </w:numPr>
      </w:pPr>
      <w:r>
        <w:t xml:space="preserve">Unsupported operating systems connected to wider networks.</w:t>
      </w:r>
    </w:p>
    <w:p>
      <w:pPr>
        <w:pStyle w:val="Compact"/>
        <w:numPr>
          <w:ilvl w:val="0"/>
          <w:numId w:val="1027"/>
        </w:numPr>
      </w:pPr>
      <w:r>
        <w:t xml:space="preserve">Systems with high safety, environmental or service impact.</w:t>
      </w:r>
    </w:p>
    <w:p>
      <w:pPr>
        <w:pStyle w:val="Compact"/>
        <w:numPr>
          <w:ilvl w:val="0"/>
          <w:numId w:val="1027"/>
        </w:numPr>
      </w:pPr>
      <w:r>
        <w:t xml:space="preserve">Systems where vendor support has expired or is about to expire.</w:t>
      </w:r>
    </w:p>
    <w:bookmarkEnd w:id="42"/>
    <w:bookmarkStart w:id="43" w:name="wave-2-standardised-platform-upgrades"/>
    <w:p>
      <w:pPr>
        <w:pStyle w:val="Heading3"/>
      </w:pPr>
      <w:r>
        <w:t xml:space="preserve">8.3 Wave 2: Standardised Platform Upgrades</w:t>
      </w:r>
    </w:p>
    <w:p>
      <w:pPr>
        <w:pStyle w:val="FirstParagraph"/>
      </w:pPr>
      <w:r>
        <w:t xml:space="preserve">Wave 2 should group systems that can be upgraded through repeatable designs.</w:t>
      </w:r>
    </w:p>
    <w:p>
      <w:pPr>
        <w:pStyle w:val="BodyText"/>
      </w:pPr>
      <w:r>
        <w:t xml:space="preserve">Examples include:</w:t>
      </w:r>
    </w:p>
    <w:p>
      <w:pPr>
        <w:pStyle w:val="Compact"/>
        <w:numPr>
          <w:ilvl w:val="0"/>
          <w:numId w:val="1028"/>
        </w:numPr>
      </w:pPr>
      <w:r>
        <w:t xml:space="preserve">Common HMI platform upgrades.</w:t>
      </w:r>
    </w:p>
    <w:p>
      <w:pPr>
        <w:pStyle w:val="Compact"/>
        <w:numPr>
          <w:ilvl w:val="0"/>
          <w:numId w:val="1028"/>
        </w:numPr>
      </w:pPr>
      <w:r>
        <w:t xml:space="preserve">Historian refresh.</w:t>
      </w:r>
    </w:p>
    <w:p>
      <w:pPr>
        <w:pStyle w:val="Compact"/>
        <w:numPr>
          <w:ilvl w:val="0"/>
          <w:numId w:val="1028"/>
        </w:numPr>
      </w:pPr>
      <w:r>
        <w:t xml:space="preserve">Engineering workstation standardisation.</w:t>
      </w:r>
    </w:p>
    <w:p>
      <w:pPr>
        <w:pStyle w:val="Compact"/>
        <w:numPr>
          <w:ilvl w:val="0"/>
          <w:numId w:val="1028"/>
        </w:numPr>
      </w:pPr>
      <w:r>
        <w:t xml:space="preserve">Network switch and firewall refresh.</w:t>
      </w:r>
    </w:p>
    <w:p>
      <w:pPr>
        <w:pStyle w:val="Compact"/>
        <w:numPr>
          <w:ilvl w:val="0"/>
          <w:numId w:val="1028"/>
        </w:numPr>
      </w:pPr>
      <w:r>
        <w:t xml:space="preserve">Remote-access redesign.</w:t>
      </w:r>
    </w:p>
    <w:p>
      <w:pPr>
        <w:pStyle w:val="Compact"/>
        <w:numPr>
          <w:ilvl w:val="0"/>
          <w:numId w:val="1028"/>
        </w:numPr>
      </w:pPr>
      <w:r>
        <w:t xml:space="preserve">Backup and recovery platform integration.</w:t>
      </w:r>
    </w:p>
    <w:bookmarkEnd w:id="43"/>
    <w:bookmarkStart w:id="44" w:name="wave-3-lifecycle-optimisation"/>
    <w:p>
      <w:pPr>
        <w:pStyle w:val="Heading3"/>
      </w:pPr>
      <w:r>
        <w:t xml:space="preserve">8.4 Wave 3: Lifecycle Optimisation</w:t>
      </w:r>
    </w:p>
    <w:p>
      <w:pPr>
        <w:pStyle w:val="FirstParagraph"/>
      </w:pPr>
      <w:r>
        <w:t xml:space="preserve">Wave 3 should focus on lower-risk systems, continuous improvement and future prevention.</w:t>
      </w:r>
    </w:p>
    <w:p>
      <w:pPr>
        <w:pStyle w:val="BodyText"/>
      </w:pPr>
      <w:r>
        <w:t xml:space="preserve">Examples include:</w:t>
      </w:r>
    </w:p>
    <w:p>
      <w:pPr>
        <w:pStyle w:val="Compact"/>
        <w:numPr>
          <w:ilvl w:val="0"/>
          <w:numId w:val="1029"/>
        </w:numPr>
      </w:pPr>
      <w:r>
        <w:t xml:space="preserve">Low-risk asset replacement.</w:t>
      </w:r>
    </w:p>
    <w:p>
      <w:pPr>
        <w:pStyle w:val="Compact"/>
        <w:numPr>
          <w:ilvl w:val="0"/>
          <w:numId w:val="1029"/>
        </w:numPr>
      </w:pPr>
      <w:r>
        <w:t xml:space="preserve">Documentation clean-up.</w:t>
      </w:r>
    </w:p>
    <w:p>
      <w:pPr>
        <w:pStyle w:val="Compact"/>
        <w:numPr>
          <w:ilvl w:val="0"/>
          <w:numId w:val="1029"/>
        </w:numPr>
      </w:pPr>
      <w:r>
        <w:t xml:space="preserve">Supplier roadmap alignment.</w:t>
      </w:r>
    </w:p>
    <w:p>
      <w:pPr>
        <w:pStyle w:val="Compact"/>
        <w:numPr>
          <w:ilvl w:val="0"/>
          <w:numId w:val="1029"/>
        </w:numPr>
      </w:pPr>
      <w:r>
        <w:t xml:space="preserve">Training uplift.</w:t>
      </w:r>
    </w:p>
    <w:p>
      <w:pPr>
        <w:pStyle w:val="Compact"/>
        <w:numPr>
          <w:ilvl w:val="0"/>
          <w:numId w:val="1029"/>
        </w:numPr>
      </w:pPr>
      <w:r>
        <w:t xml:space="preserve">Ongoing data-quality improvement.</w:t>
      </w:r>
    </w:p>
    <w:p>
      <w:pPr>
        <w:pStyle w:val="Compact"/>
        <w:numPr>
          <w:ilvl w:val="0"/>
          <w:numId w:val="1029"/>
        </w:numPr>
      </w:pPr>
      <w:r>
        <w:t xml:space="preserve">Integration with enterprise asset management and capital planning.</w:t>
      </w:r>
    </w:p>
    <w:p>
      <w:r>
        <w:pict>
          <v:rect style="width:0;height:1.5pt" o:hralign="center" o:hrstd="t" o:hr="t"/>
        </w:pict>
      </w:r>
    </w:p>
    <w:bookmarkEnd w:id="44"/>
    <w:bookmarkEnd w:id="45"/>
    <w:bookmarkStart w:id="46" w:name="procurement-and-supplier-requirements"/>
    <w:p>
      <w:pPr>
        <w:pStyle w:val="Heading2"/>
      </w:pPr>
      <w:r>
        <w:t xml:space="preserve">9. Procurement and Supplier Requirements</w:t>
      </w:r>
    </w:p>
    <w:p>
      <w:pPr>
        <w:pStyle w:val="FirstParagraph"/>
      </w:pPr>
      <w:r>
        <w:t xml:space="preserve">The programme should embed lifecycle and security requirements into procurement. Every SCADA, OT or industrial-control procurement should include:</w:t>
      </w:r>
    </w:p>
    <w:p>
      <w:pPr>
        <w:pStyle w:val="Compact"/>
        <w:numPr>
          <w:ilvl w:val="0"/>
          <w:numId w:val="1030"/>
        </w:numPr>
      </w:pPr>
      <w:r>
        <w:t xml:space="preserve">Declared support lifecycle and end-of-life policy.</w:t>
      </w:r>
    </w:p>
    <w:p>
      <w:pPr>
        <w:pStyle w:val="Compact"/>
        <w:numPr>
          <w:ilvl w:val="0"/>
          <w:numId w:val="1030"/>
        </w:numPr>
      </w:pPr>
      <w:r>
        <w:t xml:space="preserve">Minimum support period.</w:t>
      </w:r>
    </w:p>
    <w:p>
      <w:pPr>
        <w:pStyle w:val="Compact"/>
        <w:numPr>
          <w:ilvl w:val="0"/>
          <w:numId w:val="1030"/>
        </w:numPr>
      </w:pPr>
      <w:r>
        <w:t xml:space="preserve">Security patching commitment.</w:t>
      </w:r>
    </w:p>
    <w:p>
      <w:pPr>
        <w:pStyle w:val="Compact"/>
        <w:numPr>
          <w:ilvl w:val="0"/>
          <w:numId w:val="1030"/>
        </w:numPr>
      </w:pPr>
      <w:r>
        <w:t xml:space="preserve">Vulnerability disclosure process.</w:t>
      </w:r>
    </w:p>
    <w:p>
      <w:pPr>
        <w:pStyle w:val="Compact"/>
        <w:numPr>
          <w:ilvl w:val="0"/>
          <w:numId w:val="1030"/>
        </w:numPr>
      </w:pPr>
      <w:r>
        <w:t xml:space="preserve">Configuration export capability.</w:t>
      </w:r>
    </w:p>
    <w:p>
      <w:pPr>
        <w:pStyle w:val="Compact"/>
        <w:numPr>
          <w:ilvl w:val="0"/>
          <w:numId w:val="1030"/>
        </w:numPr>
      </w:pPr>
      <w:r>
        <w:t xml:space="preserve">Backup and restore capability.</w:t>
      </w:r>
    </w:p>
    <w:p>
      <w:pPr>
        <w:pStyle w:val="Compact"/>
        <w:numPr>
          <w:ilvl w:val="0"/>
          <w:numId w:val="1030"/>
        </w:numPr>
      </w:pPr>
      <w:r>
        <w:t xml:space="preserve">Role-based access control.</w:t>
      </w:r>
    </w:p>
    <w:p>
      <w:pPr>
        <w:pStyle w:val="Compact"/>
        <w:numPr>
          <w:ilvl w:val="0"/>
          <w:numId w:val="1030"/>
        </w:numPr>
      </w:pPr>
      <w:r>
        <w:t xml:space="preserve">Audit logging.</w:t>
      </w:r>
    </w:p>
    <w:p>
      <w:pPr>
        <w:pStyle w:val="Compact"/>
        <w:numPr>
          <w:ilvl w:val="0"/>
          <w:numId w:val="1030"/>
        </w:numPr>
      </w:pPr>
      <w:r>
        <w:t xml:space="preserve">Compatibility matrix.</w:t>
      </w:r>
    </w:p>
    <w:p>
      <w:pPr>
        <w:pStyle w:val="Compact"/>
        <w:numPr>
          <w:ilvl w:val="0"/>
          <w:numId w:val="1030"/>
        </w:numPr>
      </w:pPr>
      <w:r>
        <w:t xml:space="preserve">Licence portability.</w:t>
      </w:r>
    </w:p>
    <w:p>
      <w:pPr>
        <w:pStyle w:val="Compact"/>
        <w:numPr>
          <w:ilvl w:val="0"/>
          <w:numId w:val="1030"/>
        </w:numPr>
      </w:pPr>
      <w:r>
        <w:t xml:space="preserve">Disaster recovery rights.</w:t>
      </w:r>
    </w:p>
    <w:p>
      <w:pPr>
        <w:pStyle w:val="Compact"/>
        <w:numPr>
          <w:ilvl w:val="0"/>
          <w:numId w:val="1030"/>
        </w:numPr>
      </w:pPr>
      <w:r>
        <w:t xml:space="preserve">Software bill of materials where available.</w:t>
      </w:r>
    </w:p>
    <w:p>
      <w:pPr>
        <w:pStyle w:val="Compact"/>
        <w:numPr>
          <w:ilvl w:val="0"/>
          <w:numId w:val="1030"/>
        </w:numPr>
      </w:pPr>
      <w:r>
        <w:t xml:space="preserve">Secure remote support model.</w:t>
      </w:r>
    </w:p>
    <w:p>
      <w:pPr>
        <w:pStyle w:val="Compact"/>
        <w:numPr>
          <w:ilvl w:val="0"/>
          <w:numId w:val="1030"/>
        </w:numPr>
      </w:pPr>
      <w:r>
        <w:t xml:space="preserve">Spare and repair commitments.</w:t>
      </w:r>
    </w:p>
    <w:p>
      <w:pPr>
        <w:pStyle w:val="Compact"/>
        <w:numPr>
          <w:ilvl w:val="0"/>
          <w:numId w:val="1030"/>
        </w:numPr>
      </w:pPr>
      <w:r>
        <w:t xml:space="preserve">FAT and SAT requirements.</w:t>
      </w:r>
    </w:p>
    <w:p>
      <w:pPr>
        <w:pStyle w:val="Compact"/>
        <w:numPr>
          <w:ilvl w:val="0"/>
          <w:numId w:val="1030"/>
        </w:numPr>
      </w:pPr>
      <w:r>
        <w:t xml:space="preserve">Documentation and training obligations.</w:t>
      </w:r>
    </w:p>
    <w:p>
      <w:pPr>
        <w:pStyle w:val="Compact"/>
        <w:numPr>
          <w:ilvl w:val="0"/>
          <w:numId w:val="1030"/>
        </w:numPr>
      </w:pPr>
      <w:r>
        <w:t xml:space="preserve">Handover and decommissioning obligations.</w:t>
      </w:r>
    </w:p>
    <w:p>
      <w:pPr>
        <w:pStyle w:val="FirstParagraph"/>
      </w:pPr>
      <w:r>
        <w:t xml:space="preserve">This changes procurement from buying a system to buying a supported lifecycle outcome.</w:t>
      </w:r>
    </w:p>
    <w:p>
      <w:r>
        <w:pict>
          <v:rect style="width:0;height:1.5pt" o:hralign="center" o:hrstd="t" o:hr="t"/>
        </w:pict>
      </w:r>
    </w:p>
    <w:bookmarkEnd w:id="46"/>
    <w:bookmarkStart w:id="53" w:name="target-operating-improvements"/>
    <w:p>
      <w:pPr>
        <w:pStyle w:val="Heading2"/>
      </w:pPr>
      <w:r>
        <w:t xml:space="preserve">10. Target Operating Improvements</w:t>
      </w:r>
    </w:p>
    <w:p>
      <w:pPr>
        <w:pStyle w:val="FirstParagraph"/>
      </w:pPr>
      <w:r>
        <w:t xml:space="preserve">The framework and application will improve the organisation across several dimensions.</w:t>
      </w:r>
    </w:p>
    <w:bookmarkStart w:id="47" w:name="better-visibility"/>
    <w:p>
      <w:pPr>
        <w:pStyle w:val="Heading3"/>
      </w:pPr>
      <w:r>
        <w:t xml:space="preserve">10.1 Better Visibility</w:t>
      </w:r>
    </w:p>
    <w:p>
      <w:pPr>
        <w:pStyle w:val="FirstParagraph"/>
      </w:pPr>
      <w:r>
        <w:t xml:space="preserve">The organisation gains a live view of:</w:t>
      </w:r>
    </w:p>
    <w:p>
      <w:pPr>
        <w:pStyle w:val="Compact"/>
        <w:numPr>
          <w:ilvl w:val="0"/>
          <w:numId w:val="1031"/>
        </w:numPr>
      </w:pPr>
      <w:r>
        <w:t xml:space="preserve">What assets exist.</w:t>
      </w:r>
    </w:p>
    <w:p>
      <w:pPr>
        <w:pStyle w:val="Compact"/>
        <w:numPr>
          <w:ilvl w:val="0"/>
          <w:numId w:val="1031"/>
        </w:numPr>
      </w:pPr>
      <w:r>
        <w:t xml:space="preserve">Where they are.</w:t>
      </w:r>
    </w:p>
    <w:p>
      <w:pPr>
        <w:pStyle w:val="Compact"/>
        <w:numPr>
          <w:ilvl w:val="0"/>
          <w:numId w:val="1031"/>
        </w:numPr>
      </w:pPr>
      <w:r>
        <w:t xml:space="preserve">What they depend on.</w:t>
      </w:r>
    </w:p>
    <w:p>
      <w:pPr>
        <w:pStyle w:val="Compact"/>
        <w:numPr>
          <w:ilvl w:val="0"/>
          <w:numId w:val="1031"/>
        </w:numPr>
      </w:pPr>
      <w:r>
        <w:t xml:space="preserve">Who owns them.</w:t>
      </w:r>
    </w:p>
    <w:p>
      <w:pPr>
        <w:pStyle w:val="Compact"/>
        <w:numPr>
          <w:ilvl w:val="0"/>
          <w:numId w:val="1031"/>
        </w:numPr>
      </w:pPr>
      <w:r>
        <w:t xml:space="preserve">Whether they are supported.</w:t>
      </w:r>
    </w:p>
    <w:p>
      <w:pPr>
        <w:pStyle w:val="Compact"/>
        <w:numPr>
          <w:ilvl w:val="0"/>
          <w:numId w:val="1031"/>
        </w:numPr>
      </w:pPr>
      <w:r>
        <w:t xml:space="preserve">Whether they can be recovered.</w:t>
      </w:r>
    </w:p>
    <w:p>
      <w:pPr>
        <w:pStyle w:val="Compact"/>
        <w:numPr>
          <w:ilvl w:val="0"/>
          <w:numId w:val="1031"/>
        </w:numPr>
      </w:pPr>
      <w:r>
        <w:t xml:space="preserve">Which systems are most exposed.</w:t>
      </w:r>
    </w:p>
    <w:p>
      <w:pPr>
        <w:pStyle w:val="Compact"/>
        <w:numPr>
          <w:ilvl w:val="0"/>
          <w:numId w:val="1031"/>
        </w:numPr>
      </w:pPr>
      <w:r>
        <w:t xml:space="preserve">Which risks are being actively reduced.</w:t>
      </w:r>
    </w:p>
    <w:bookmarkEnd w:id="47"/>
    <w:bookmarkStart w:id="48" w:name="better-prioritisation"/>
    <w:p>
      <w:pPr>
        <w:pStyle w:val="Heading3"/>
      </w:pPr>
      <w:r>
        <w:t xml:space="preserve">10.2 Better Prioritisation</w:t>
      </w:r>
    </w:p>
    <w:p>
      <w:pPr>
        <w:pStyle w:val="FirstParagraph"/>
      </w:pPr>
      <w:r>
        <w:t xml:space="preserve">Investment decisions become based on consequence, exposure, recoverability and evidence quality, not simply age.</w:t>
      </w:r>
    </w:p>
    <w:p>
      <w:pPr>
        <w:pStyle w:val="BodyText"/>
      </w:pPr>
      <w:r>
        <w:t xml:space="preserve">This reduces the risk of funding low-impact replacements while more critical hidden risks remain untreated.</w:t>
      </w:r>
    </w:p>
    <w:bookmarkEnd w:id="48"/>
    <w:bookmarkStart w:id="49" w:name="better-delivery-control"/>
    <w:p>
      <w:pPr>
        <w:pStyle w:val="Heading3"/>
      </w:pPr>
      <w:r>
        <w:t xml:space="preserve">10.3 Better Delivery Control</w:t>
      </w:r>
    </w:p>
    <w:p>
      <w:pPr>
        <w:pStyle w:val="FirstParagraph"/>
      </w:pPr>
      <w:r>
        <w:t xml:space="preserve">The programme package model allows:</w:t>
      </w:r>
    </w:p>
    <w:p>
      <w:pPr>
        <w:pStyle w:val="Compact"/>
        <w:numPr>
          <w:ilvl w:val="0"/>
          <w:numId w:val="1032"/>
        </w:numPr>
      </w:pPr>
      <w:r>
        <w:t xml:space="preserve">Clear scope.</w:t>
      </w:r>
    </w:p>
    <w:p>
      <w:pPr>
        <w:pStyle w:val="Compact"/>
        <w:numPr>
          <w:ilvl w:val="0"/>
          <w:numId w:val="1032"/>
        </w:numPr>
      </w:pPr>
      <w:r>
        <w:t xml:space="preserve">Clear ownership.</w:t>
      </w:r>
    </w:p>
    <w:p>
      <w:pPr>
        <w:pStyle w:val="Compact"/>
        <w:numPr>
          <w:ilvl w:val="0"/>
          <w:numId w:val="1032"/>
        </w:numPr>
      </w:pPr>
      <w:r>
        <w:t xml:space="preserve">Clear cost.</w:t>
      </w:r>
    </w:p>
    <w:p>
      <w:pPr>
        <w:pStyle w:val="Compact"/>
        <w:numPr>
          <w:ilvl w:val="0"/>
          <w:numId w:val="1032"/>
        </w:numPr>
      </w:pPr>
      <w:r>
        <w:t xml:space="preserve">Clear delivery stage.</w:t>
      </w:r>
    </w:p>
    <w:p>
      <w:pPr>
        <w:pStyle w:val="Compact"/>
        <w:numPr>
          <w:ilvl w:val="0"/>
          <w:numId w:val="1032"/>
        </w:numPr>
      </w:pPr>
      <w:r>
        <w:t xml:space="preserve">Clear dependencies.</w:t>
      </w:r>
    </w:p>
    <w:p>
      <w:pPr>
        <w:pStyle w:val="Compact"/>
        <w:numPr>
          <w:ilvl w:val="0"/>
          <w:numId w:val="1032"/>
        </w:numPr>
      </w:pPr>
      <w:r>
        <w:t xml:space="preserve">Clear acceptance criteria.</w:t>
      </w:r>
    </w:p>
    <w:p>
      <w:pPr>
        <w:pStyle w:val="Compact"/>
        <w:numPr>
          <w:ilvl w:val="0"/>
          <w:numId w:val="1032"/>
        </w:numPr>
      </w:pPr>
      <w:r>
        <w:t xml:space="preserve">Clear benefits tracking.</w:t>
      </w:r>
    </w:p>
    <w:bookmarkEnd w:id="49"/>
    <w:bookmarkStart w:id="50" w:name="better-cyber-resilience"/>
    <w:p>
      <w:pPr>
        <w:pStyle w:val="Heading3"/>
      </w:pPr>
      <w:r>
        <w:t xml:space="preserve">10.4 Better Cyber Resilience</w:t>
      </w:r>
    </w:p>
    <w:p>
      <w:pPr>
        <w:pStyle w:val="FirstParagraph"/>
      </w:pPr>
      <w:r>
        <w:t xml:space="preserve">The framework improves:</w:t>
      </w:r>
    </w:p>
    <w:p>
      <w:pPr>
        <w:pStyle w:val="Compact"/>
        <w:numPr>
          <w:ilvl w:val="0"/>
          <w:numId w:val="1033"/>
        </w:numPr>
      </w:pPr>
      <w:r>
        <w:t xml:space="preserve">Asset visibility.</w:t>
      </w:r>
    </w:p>
    <w:p>
      <w:pPr>
        <w:pStyle w:val="Compact"/>
        <w:numPr>
          <w:ilvl w:val="0"/>
          <w:numId w:val="1033"/>
        </w:numPr>
      </w:pPr>
      <w:r>
        <w:t xml:space="preserve">Network boundary control.</w:t>
      </w:r>
    </w:p>
    <w:p>
      <w:pPr>
        <w:pStyle w:val="Compact"/>
        <w:numPr>
          <w:ilvl w:val="0"/>
          <w:numId w:val="1033"/>
        </w:numPr>
      </w:pPr>
      <w:r>
        <w:t xml:space="preserve">Remote-access governance.</w:t>
      </w:r>
    </w:p>
    <w:p>
      <w:pPr>
        <w:pStyle w:val="Compact"/>
        <w:numPr>
          <w:ilvl w:val="0"/>
          <w:numId w:val="1033"/>
        </w:numPr>
      </w:pPr>
      <w:r>
        <w:t xml:space="preserve">Backup and recovery.</w:t>
      </w:r>
    </w:p>
    <w:p>
      <w:pPr>
        <w:pStyle w:val="Compact"/>
        <w:numPr>
          <w:ilvl w:val="0"/>
          <w:numId w:val="1033"/>
        </w:numPr>
      </w:pPr>
      <w:r>
        <w:t xml:space="preserve">Logging and monitoring.</w:t>
      </w:r>
    </w:p>
    <w:p>
      <w:pPr>
        <w:pStyle w:val="Compact"/>
        <w:numPr>
          <w:ilvl w:val="0"/>
          <w:numId w:val="1033"/>
        </w:numPr>
      </w:pPr>
      <w:r>
        <w:t xml:space="preserve">Supplier control.</w:t>
      </w:r>
    </w:p>
    <w:p>
      <w:pPr>
        <w:pStyle w:val="Compact"/>
        <w:numPr>
          <w:ilvl w:val="0"/>
          <w:numId w:val="1033"/>
        </w:numPr>
      </w:pPr>
      <w:r>
        <w:t xml:space="preserve">Patch and vulnerability planning.</w:t>
      </w:r>
    </w:p>
    <w:bookmarkEnd w:id="50"/>
    <w:bookmarkStart w:id="51" w:name="better-operational-resilience"/>
    <w:p>
      <w:pPr>
        <w:pStyle w:val="Heading3"/>
      </w:pPr>
      <w:r>
        <w:t xml:space="preserve">10.5 Better Operational Resilience</w:t>
      </w:r>
    </w:p>
    <w:p>
      <w:pPr>
        <w:pStyle w:val="FirstParagraph"/>
      </w:pPr>
      <w:r>
        <w:t xml:space="preserve">The programme reduces:</w:t>
      </w:r>
    </w:p>
    <w:p>
      <w:pPr>
        <w:pStyle w:val="Compact"/>
        <w:numPr>
          <w:ilvl w:val="0"/>
          <w:numId w:val="1034"/>
        </w:numPr>
      </w:pPr>
      <w:r>
        <w:t xml:space="preserve">Unplanned downtime.</w:t>
      </w:r>
    </w:p>
    <w:p>
      <w:pPr>
        <w:pStyle w:val="Compact"/>
        <w:numPr>
          <w:ilvl w:val="0"/>
          <w:numId w:val="1034"/>
        </w:numPr>
      </w:pPr>
      <w:r>
        <w:t xml:space="preserve">Unsupported critical systems.</w:t>
      </w:r>
    </w:p>
    <w:p>
      <w:pPr>
        <w:pStyle w:val="Compact"/>
        <w:numPr>
          <w:ilvl w:val="0"/>
          <w:numId w:val="1034"/>
        </w:numPr>
      </w:pPr>
      <w:r>
        <w:t xml:space="preserve">Single points of failure.</w:t>
      </w:r>
    </w:p>
    <w:p>
      <w:pPr>
        <w:pStyle w:val="Compact"/>
        <w:numPr>
          <w:ilvl w:val="0"/>
          <w:numId w:val="1034"/>
        </w:numPr>
      </w:pPr>
      <w:r>
        <w:t xml:space="preserve">Unrecoverable configurations.</w:t>
      </w:r>
    </w:p>
    <w:p>
      <w:pPr>
        <w:pStyle w:val="Compact"/>
        <w:numPr>
          <w:ilvl w:val="0"/>
          <w:numId w:val="1034"/>
        </w:numPr>
      </w:pPr>
      <w:r>
        <w:t xml:space="preserve">Dependency surprises during outage.</w:t>
      </w:r>
    </w:p>
    <w:p>
      <w:pPr>
        <w:pStyle w:val="Compact"/>
        <w:numPr>
          <w:ilvl w:val="0"/>
          <w:numId w:val="1034"/>
        </w:numPr>
      </w:pPr>
      <w:r>
        <w:t xml:space="preserve">Reliance on individual knowledge.</w:t>
      </w:r>
    </w:p>
    <w:bookmarkEnd w:id="51"/>
    <w:bookmarkStart w:id="52" w:name="better-capital-planning"/>
    <w:p>
      <w:pPr>
        <w:pStyle w:val="Heading3"/>
      </w:pPr>
      <w:r>
        <w:t xml:space="preserve">10.6 Better Capital Planning</w:t>
      </w:r>
    </w:p>
    <w:p>
      <w:pPr>
        <w:pStyle w:val="FirstParagraph"/>
      </w:pPr>
      <w:r>
        <w:t xml:space="preserve">The organisation can create a rolling multi-year investment profile, rather than responding to obsolescence emergencies.</w:t>
      </w:r>
    </w:p>
    <w:p>
      <w:pPr>
        <w:pStyle w:val="BodyText"/>
      </w:pPr>
      <w:r>
        <w:t xml:space="preserve">This supports:</w:t>
      </w:r>
    </w:p>
    <w:p>
      <w:pPr>
        <w:pStyle w:val="Compact"/>
        <w:numPr>
          <w:ilvl w:val="0"/>
          <w:numId w:val="1035"/>
        </w:numPr>
      </w:pPr>
      <w:r>
        <w:t xml:space="preserve">Earlier budget planning.</w:t>
      </w:r>
    </w:p>
    <w:p>
      <w:pPr>
        <w:pStyle w:val="Compact"/>
        <w:numPr>
          <w:ilvl w:val="0"/>
          <w:numId w:val="1035"/>
        </w:numPr>
      </w:pPr>
      <w:r>
        <w:t xml:space="preserve">Better supplier engagement.</w:t>
      </w:r>
    </w:p>
    <w:p>
      <w:pPr>
        <w:pStyle w:val="Compact"/>
        <w:numPr>
          <w:ilvl w:val="0"/>
          <w:numId w:val="1035"/>
        </w:numPr>
      </w:pPr>
      <w:r>
        <w:t xml:space="preserve">Better outage alignment.</w:t>
      </w:r>
    </w:p>
    <w:p>
      <w:pPr>
        <w:pStyle w:val="Compact"/>
        <w:numPr>
          <w:ilvl w:val="0"/>
          <w:numId w:val="1035"/>
        </w:numPr>
      </w:pPr>
      <w:r>
        <w:t xml:space="preserve">Better procurement leverage.</w:t>
      </w:r>
    </w:p>
    <w:p>
      <w:pPr>
        <w:pStyle w:val="Compact"/>
        <w:numPr>
          <w:ilvl w:val="0"/>
          <w:numId w:val="1035"/>
        </w:numPr>
      </w:pPr>
      <w:r>
        <w:t xml:space="preserve">Better long-term risk reduction.</w:t>
      </w:r>
    </w:p>
    <w:p>
      <w:r>
        <w:pict>
          <v:rect style="width:0;height:1.5pt" o:hralign="center" o:hrstd="t" o:hr="t"/>
        </w:pict>
      </w:r>
    </w:p>
    <w:bookmarkEnd w:id="52"/>
    <w:bookmarkEnd w:id="53"/>
    <w:bookmarkStart w:id="59" w:name="expected-benefits-and-outcomes"/>
    <w:p>
      <w:pPr>
        <w:pStyle w:val="Heading2"/>
      </w:pPr>
      <w:r>
        <w:t xml:space="preserve">11. Expected Benefits and Outcomes</w:t>
      </w:r>
    </w:p>
    <w:bookmarkStart w:id="54" w:name="executive-outcomes"/>
    <w:p>
      <w:pPr>
        <w:pStyle w:val="Heading3"/>
      </w:pPr>
      <w:r>
        <w:t xml:space="preserve">11.1 Executive Outcomes</w:t>
      </w:r>
    </w:p>
    <w:p>
      <w:pPr>
        <w:pStyle w:val="FirstParagraph"/>
      </w:pPr>
      <w:r>
        <w:t xml:space="preserve">The executive team will gain:</w:t>
      </w:r>
    </w:p>
    <w:p>
      <w:pPr>
        <w:pStyle w:val="Compact"/>
        <w:numPr>
          <w:ilvl w:val="0"/>
          <w:numId w:val="1036"/>
        </w:numPr>
      </w:pPr>
      <w:r>
        <w:t xml:space="preserve">A controlled SCADA lifecycle-management framework.</w:t>
      </w:r>
    </w:p>
    <w:p>
      <w:pPr>
        <w:pStyle w:val="Compact"/>
        <w:numPr>
          <w:ilvl w:val="0"/>
          <w:numId w:val="1036"/>
        </w:numPr>
      </w:pPr>
      <w:r>
        <w:t xml:space="preserve">A live risk and investment dashboard.</w:t>
      </w:r>
    </w:p>
    <w:p>
      <w:pPr>
        <w:pStyle w:val="Compact"/>
        <w:numPr>
          <w:ilvl w:val="0"/>
          <w:numId w:val="1036"/>
        </w:numPr>
      </w:pPr>
      <w:r>
        <w:t xml:space="preserve">A prioritised upgrade roadmap.</w:t>
      </w:r>
    </w:p>
    <w:p>
      <w:pPr>
        <w:pStyle w:val="Compact"/>
        <w:numPr>
          <w:ilvl w:val="0"/>
          <w:numId w:val="1036"/>
        </w:numPr>
      </w:pPr>
      <w:r>
        <w:t xml:space="preserve">Clear funding packages.</w:t>
      </w:r>
    </w:p>
    <w:p>
      <w:pPr>
        <w:pStyle w:val="Compact"/>
        <w:numPr>
          <w:ilvl w:val="0"/>
          <w:numId w:val="1036"/>
        </w:numPr>
      </w:pPr>
      <w:r>
        <w:t xml:space="preserve">Evidence-based risk acceptance.</w:t>
      </w:r>
    </w:p>
    <w:p>
      <w:pPr>
        <w:pStyle w:val="Compact"/>
        <w:numPr>
          <w:ilvl w:val="0"/>
          <w:numId w:val="1036"/>
        </w:numPr>
      </w:pPr>
      <w:r>
        <w:t xml:space="preserve">Better visibility of critical operational exposure.</w:t>
      </w:r>
    </w:p>
    <w:p>
      <w:pPr>
        <w:pStyle w:val="Compact"/>
        <w:numPr>
          <w:ilvl w:val="0"/>
          <w:numId w:val="1036"/>
        </w:numPr>
      </w:pPr>
      <w:r>
        <w:t xml:space="preserve">Stronger compliance and audit readiness.</w:t>
      </w:r>
    </w:p>
    <w:p>
      <w:pPr>
        <w:pStyle w:val="Compact"/>
        <w:numPr>
          <w:ilvl w:val="0"/>
          <w:numId w:val="1036"/>
        </w:numPr>
      </w:pPr>
      <w:r>
        <w:t xml:space="preserve">Reduced likelihood of emergency capital requests.</w:t>
      </w:r>
    </w:p>
    <w:bookmarkEnd w:id="54"/>
    <w:bookmarkStart w:id="55" w:name="operational-outcomes"/>
    <w:p>
      <w:pPr>
        <w:pStyle w:val="Heading3"/>
      </w:pPr>
      <w:r>
        <w:t xml:space="preserve">11.2 Operational Outcomes</w:t>
      </w:r>
    </w:p>
    <w:p>
      <w:pPr>
        <w:pStyle w:val="FirstParagraph"/>
      </w:pPr>
      <w:r>
        <w:t xml:space="preserve">Operations teams will gain:</w:t>
      </w:r>
    </w:p>
    <w:p>
      <w:pPr>
        <w:pStyle w:val="Compact"/>
        <w:numPr>
          <w:ilvl w:val="0"/>
          <w:numId w:val="1037"/>
        </w:numPr>
      </w:pPr>
      <w:r>
        <w:t xml:space="preserve">More reliable SCADA services.</w:t>
      </w:r>
    </w:p>
    <w:p>
      <w:pPr>
        <w:pStyle w:val="Compact"/>
        <w:numPr>
          <w:ilvl w:val="0"/>
          <w:numId w:val="1037"/>
        </w:numPr>
      </w:pPr>
      <w:r>
        <w:t xml:space="preserve">Better outage planning.</w:t>
      </w:r>
    </w:p>
    <w:p>
      <w:pPr>
        <w:pStyle w:val="Compact"/>
        <w:numPr>
          <w:ilvl w:val="0"/>
          <w:numId w:val="1037"/>
        </w:numPr>
      </w:pPr>
      <w:r>
        <w:t xml:space="preserve">Clearer support routes.</w:t>
      </w:r>
    </w:p>
    <w:p>
      <w:pPr>
        <w:pStyle w:val="Compact"/>
        <w:numPr>
          <w:ilvl w:val="0"/>
          <w:numId w:val="1037"/>
        </w:numPr>
      </w:pPr>
      <w:r>
        <w:t xml:space="preserve">Improved recovery confidence.</w:t>
      </w:r>
    </w:p>
    <w:p>
      <w:pPr>
        <w:pStyle w:val="Compact"/>
        <w:numPr>
          <w:ilvl w:val="0"/>
          <w:numId w:val="1037"/>
        </w:numPr>
      </w:pPr>
      <w:r>
        <w:t xml:space="preserve">Reduced dependency on unsupported systems.</w:t>
      </w:r>
    </w:p>
    <w:p>
      <w:pPr>
        <w:pStyle w:val="Compact"/>
        <w:numPr>
          <w:ilvl w:val="0"/>
          <w:numId w:val="1037"/>
        </w:numPr>
      </w:pPr>
      <w:r>
        <w:t xml:space="preserve">Better documentation and training.</w:t>
      </w:r>
    </w:p>
    <w:p>
      <w:pPr>
        <w:pStyle w:val="Compact"/>
        <w:numPr>
          <w:ilvl w:val="0"/>
          <w:numId w:val="1037"/>
        </w:numPr>
      </w:pPr>
      <w:r>
        <w:t xml:space="preserve">Safer upgrade execution.</w:t>
      </w:r>
    </w:p>
    <w:bookmarkEnd w:id="55"/>
    <w:bookmarkStart w:id="56" w:name="engineering-outcomes"/>
    <w:p>
      <w:pPr>
        <w:pStyle w:val="Heading3"/>
      </w:pPr>
      <w:r>
        <w:t xml:space="preserve">11.3 Engineering Outcomes</w:t>
      </w:r>
    </w:p>
    <w:p>
      <w:pPr>
        <w:pStyle w:val="FirstParagraph"/>
      </w:pPr>
      <w:r>
        <w:t xml:space="preserve">Engineering teams will gain:</w:t>
      </w:r>
    </w:p>
    <w:p>
      <w:pPr>
        <w:pStyle w:val="Compact"/>
        <w:numPr>
          <w:ilvl w:val="0"/>
          <w:numId w:val="1038"/>
        </w:numPr>
      </w:pPr>
      <w:r>
        <w:t xml:space="preserve">A definitive technical baseline.</w:t>
      </w:r>
    </w:p>
    <w:p>
      <w:pPr>
        <w:pStyle w:val="Compact"/>
        <w:numPr>
          <w:ilvl w:val="0"/>
          <w:numId w:val="1038"/>
        </w:numPr>
      </w:pPr>
      <w:r>
        <w:t xml:space="preserve">Better configuration control.</w:t>
      </w:r>
    </w:p>
    <w:p>
      <w:pPr>
        <w:pStyle w:val="Compact"/>
        <w:numPr>
          <w:ilvl w:val="0"/>
          <w:numId w:val="1038"/>
        </w:numPr>
      </w:pPr>
      <w:r>
        <w:t xml:space="preserve">Clearer standards.</w:t>
      </w:r>
    </w:p>
    <w:p>
      <w:pPr>
        <w:pStyle w:val="Compact"/>
        <w:numPr>
          <w:ilvl w:val="0"/>
          <w:numId w:val="1038"/>
        </w:numPr>
      </w:pPr>
      <w:r>
        <w:t xml:space="preserve">Improved test and migration planning.</w:t>
      </w:r>
    </w:p>
    <w:p>
      <w:pPr>
        <w:pStyle w:val="Compact"/>
        <w:numPr>
          <w:ilvl w:val="0"/>
          <w:numId w:val="1038"/>
        </w:numPr>
      </w:pPr>
      <w:r>
        <w:t xml:space="preserve">Better visibility of system dependencies.</w:t>
      </w:r>
    </w:p>
    <w:p>
      <w:pPr>
        <w:pStyle w:val="Compact"/>
        <w:numPr>
          <w:ilvl w:val="0"/>
          <w:numId w:val="1038"/>
        </w:numPr>
      </w:pPr>
      <w:r>
        <w:t xml:space="preserve">Reduced firefighting.</w:t>
      </w:r>
    </w:p>
    <w:p>
      <w:pPr>
        <w:pStyle w:val="Compact"/>
        <w:numPr>
          <w:ilvl w:val="0"/>
          <w:numId w:val="1038"/>
        </w:numPr>
      </w:pPr>
      <w:r>
        <w:t xml:space="preserve">Stronger supplier accountability.</w:t>
      </w:r>
    </w:p>
    <w:bookmarkEnd w:id="56"/>
    <w:bookmarkStart w:id="57" w:name="cybersecurity-outcomes"/>
    <w:p>
      <w:pPr>
        <w:pStyle w:val="Heading3"/>
      </w:pPr>
      <w:r>
        <w:t xml:space="preserve">11.4 Cybersecurity Outcomes</w:t>
      </w:r>
    </w:p>
    <w:p>
      <w:pPr>
        <w:pStyle w:val="FirstParagraph"/>
      </w:pPr>
      <w:r>
        <w:t xml:space="preserve">Cybersecurity teams will gain:</w:t>
      </w:r>
    </w:p>
    <w:p>
      <w:pPr>
        <w:pStyle w:val="Compact"/>
        <w:numPr>
          <w:ilvl w:val="0"/>
          <w:numId w:val="1039"/>
        </w:numPr>
      </w:pPr>
      <w:r>
        <w:t xml:space="preserve">Better OT asset visibility.</w:t>
      </w:r>
    </w:p>
    <w:p>
      <w:pPr>
        <w:pStyle w:val="Compact"/>
        <w:numPr>
          <w:ilvl w:val="0"/>
          <w:numId w:val="1039"/>
        </w:numPr>
      </w:pPr>
      <w:r>
        <w:t xml:space="preserve">Better understanding of exposure.</w:t>
      </w:r>
    </w:p>
    <w:p>
      <w:pPr>
        <w:pStyle w:val="Compact"/>
        <w:numPr>
          <w:ilvl w:val="0"/>
          <w:numId w:val="1039"/>
        </w:numPr>
      </w:pPr>
      <w:r>
        <w:t xml:space="preserve">Improved access control.</w:t>
      </w:r>
    </w:p>
    <w:p>
      <w:pPr>
        <w:pStyle w:val="Compact"/>
        <w:numPr>
          <w:ilvl w:val="0"/>
          <w:numId w:val="1039"/>
        </w:numPr>
      </w:pPr>
      <w:r>
        <w:t xml:space="preserve">Better logging and monitoring targets.</w:t>
      </w:r>
    </w:p>
    <w:p>
      <w:pPr>
        <w:pStyle w:val="Compact"/>
        <w:numPr>
          <w:ilvl w:val="0"/>
          <w:numId w:val="1039"/>
        </w:numPr>
      </w:pPr>
      <w:r>
        <w:t xml:space="preserve">Clearer segmentation priorities.</w:t>
      </w:r>
    </w:p>
    <w:p>
      <w:pPr>
        <w:pStyle w:val="Compact"/>
        <w:numPr>
          <w:ilvl w:val="0"/>
          <w:numId w:val="1039"/>
        </w:numPr>
      </w:pPr>
      <w:r>
        <w:t xml:space="preserve">Better evidence for risk reporting.</w:t>
      </w:r>
    </w:p>
    <w:p>
      <w:pPr>
        <w:pStyle w:val="Compact"/>
        <w:numPr>
          <w:ilvl w:val="0"/>
          <w:numId w:val="1039"/>
        </w:numPr>
      </w:pPr>
      <w:r>
        <w:t xml:space="preserve">A practical route for reducing legacy cyber exposure.</w:t>
      </w:r>
    </w:p>
    <w:bookmarkEnd w:id="57"/>
    <w:bookmarkStart w:id="58" w:name="commercial-outcomes"/>
    <w:p>
      <w:pPr>
        <w:pStyle w:val="Heading3"/>
      </w:pPr>
      <w:r>
        <w:t xml:space="preserve">11.5 Commercial Outcomes</w:t>
      </w:r>
    </w:p>
    <w:p>
      <w:pPr>
        <w:pStyle w:val="FirstParagraph"/>
      </w:pPr>
      <w:r>
        <w:t xml:space="preserve">Procurement and finance teams will gain:</w:t>
      </w:r>
    </w:p>
    <w:p>
      <w:pPr>
        <w:pStyle w:val="Compact"/>
        <w:numPr>
          <w:ilvl w:val="0"/>
          <w:numId w:val="1040"/>
        </w:numPr>
      </w:pPr>
      <w:r>
        <w:t xml:space="preserve">Multi-year demand visibility.</w:t>
      </w:r>
    </w:p>
    <w:p>
      <w:pPr>
        <w:pStyle w:val="Compact"/>
        <w:numPr>
          <w:ilvl w:val="0"/>
          <w:numId w:val="1040"/>
        </w:numPr>
      </w:pPr>
      <w:r>
        <w:t xml:space="preserve">Better supplier negotiation position.</w:t>
      </w:r>
    </w:p>
    <w:p>
      <w:pPr>
        <w:pStyle w:val="Compact"/>
        <w:numPr>
          <w:ilvl w:val="0"/>
          <w:numId w:val="1040"/>
        </w:numPr>
      </w:pPr>
      <w:r>
        <w:t xml:space="preserve">Reduced emergency procurement.</w:t>
      </w:r>
    </w:p>
    <w:p>
      <w:pPr>
        <w:pStyle w:val="Compact"/>
        <w:numPr>
          <w:ilvl w:val="0"/>
          <w:numId w:val="1040"/>
        </w:numPr>
      </w:pPr>
      <w:r>
        <w:t xml:space="preserve">Better lifecycle obligations in contracts.</w:t>
      </w:r>
    </w:p>
    <w:p>
      <w:pPr>
        <w:pStyle w:val="Compact"/>
        <w:numPr>
          <w:ilvl w:val="0"/>
          <w:numId w:val="1040"/>
        </w:numPr>
      </w:pPr>
      <w:r>
        <w:t xml:space="preserve">More accurate budget forecasting.</w:t>
      </w:r>
    </w:p>
    <w:p>
      <w:pPr>
        <w:pStyle w:val="Compact"/>
        <w:numPr>
          <w:ilvl w:val="0"/>
          <w:numId w:val="1040"/>
        </w:numPr>
      </w:pPr>
      <w:r>
        <w:t xml:space="preserve">Clearer cost-risk-benefit linkage.</w:t>
      </w:r>
    </w:p>
    <w:p>
      <w:r>
        <w:pict>
          <v:rect style="width:0;height:1.5pt" o:hralign="center" o:hrstd="t" o:hr="t"/>
        </w:pict>
      </w:r>
    </w:p>
    <w:bookmarkEnd w:id="58"/>
    <w:bookmarkEnd w:id="59"/>
    <w:bookmarkStart w:id="60" w:name="key-measures-of-success"/>
    <w:p>
      <w:pPr>
        <w:pStyle w:val="Heading2"/>
      </w:pPr>
      <w:r>
        <w:t xml:space="preserve">12. Key Measures of Success</w:t>
      </w:r>
    </w:p>
    <w:p>
      <w:pPr>
        <w:pStyle w:val="FirstParagraph"/>
      </w:pPr>
      <w:r>
        <w:t xml:space="preserve">The programme should report a concise set of executive metrics.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Purpose</w:t>
            </w:r>
          </w:p>
        </w:tc>
      </w:tr>
      <w:tr>
        <w:tc>
          <w:tcPr/>
          <w:p>
            <w:pPr>
              <w:pStyle w:val="Compact"/>
            </w:pPr>
            <w:r>
              <w:t xml:space="preserve">Percentage of critical SCADA systems with verified lifecycle status</w:t>
            </w:r>
          </w:p>
        </w:tc>
        <w:tc>
          <w:tcPr/>
          <w:p>
            <w:pPr>
              <w:pStyle w:val="Compact"/>
            </w:pPr>
            <w:r>
              <w:t xml:space="preserve">Shows quality of the baseline.</w:t>
            </w:r>
          </w:p>
        </w:tc>
      </w:tr>
      <w:tr>
        <w:tc>
          <w:tcPr/>
          <w:p>
            <w:pPr>
              <w:pStyle w:val="Compact"/>
            </w:pPr>
            <w:r>
              <w:t xml:space="preserve">Number of unsupported critical systems</w:t>
            </w:r>
          </w:p>
        </w:tc>
        <w:tc>
          <w:tcPr/>
          <w:p>
            <w:pPr>
              <w:pStyle w:val="Compact"/>
            </w:pPr>
            <w:r>
              <w:t xml:space="preserve">Shows residual exposure.</w:t>
            </w:r>
          </w:p>
        </w:tc>
      </w:tr>
      <w:tr>
        <w:tc>
          <w:tcPr/>
          <w:p>
            <w:pPr>
              <w:pStyle w:val="Compact"/>
            </w:pPr>
            <w:r>
              <w:t xml:space="preserve">Percentage of critical systems with tested backups</w:t>
            </w:r>
          </w:p>
        </w:tc>
        <w:tc>
          <w:tcPr/>
          <w:p>
            <w:pPr>
              <w:pStyle w:val="Compact"/>
            </w:pPr>
            <w:r>
              <w:t xml:space="preserve">Shows recovery readiness.</w:t>
            </w:r>
          </w:p>
        </w:tc>
      </w:tr>
      <w:tr>
        <w:tc>
          <w:tcPr/>
          <w:p>
            <w:pPr>
              <w:pStyle w:val="Compact"/>
            </w:pPr>
            <w:r>
              <w:t xml:space="preserve">Number of systems with unknown evidence confidence</w:t>
            </w:r>
          </w:p>
        </w:tc>
        <w:tc>
          <w:tcPr/>
          <w:p>
            <w:pPr>
              <w:pStyle w:val="Compact"/>
            </w:pPr>
            <w:r>
              <w:t xml:space="preserve">Shows data-risk reduction.</w:t>
            </w:r>
          </w:p>
        </w:tc>
      </w:tr>
      <w:tr>
        <w:tc>
          <w:tcPr/>
          <w:p>
            <w:pPr>
              <w:pStyle w:val="Compact"/>
            </w:pPr>
            <w:r>
              <w:t xml:space="preserve">Number of high-risk systems moved into funded packages</w:t>
            </w:r>
          </w:p>
        </w:tc>
        <w:tc>
          <w:tcPr/>
          <w:p>
            <w:pPr>
              <w:pStyle w:val="Compact"/>
            </w:pPr>
            <w:r>
              <w:t xml:space="preserve">Shows conversion from register to delivery.</w:t>
            </w:r>
          </w:p>
        </w:tc>
      </w:tr>
      <w:tr>
        <w:tc>
          <w:tcPr/>
          <w:p>
            <w:pPr>
              <w:pStyle w:val="Compact"/>
            </w:pPr>
            <w:r>
              <w:t xml:space="preserve">Number of Wave 0 containment actions completed</w:t>
            </w:r>
          </w:p>
        </w:tc>
        <w:tc>
          <w:tcPr/>
          <w:p>
            <w:pPr>
              <w:pStyle w:val="Compact"/>
            </w:pPr>
            <w:r>
              <w:t xml:space="preserve">Shows immediate risk reduction.</w:t>
            </w:r>
          </w:p>
        </w:tc>
      </w:tr>
      <w:tr>
        <w:tc>
          <w:tcPr/>
          <w:p>
            <w:pPr>
              <w:pStyle w:val="Compact"/>
            </w:pPr>
            <w:r>
              <w:t xml:space="preserve">Percentage of work packages passing governance gates</w:t>
            </w:r>
          </w:p>
        </w:tc>
        <w:tc>
          <w:tcPr/>
          <w:p>
            <w:pPr>
              <w:pStyle w:val="Compact"/>
            </w:pPr>
            <w:r>
              <w:t xml:space="preserve">Shows delivery maturity.</w:t>
            </w:r>
          </w:p>
        </w:tc>
      </w:tr>
      <w:tr>
        <w:tc>
          <w:tcPr/>
          <w:p>
            <w:pPr>
              <w:pStyle w:val="Compact"/>
            </w:pPr>
            <w:r>
              <w:t xml:space="preserve">Forecast five-year obsolescence exposure</w:t>
            </w:r>
          </w:p>
        </w:tc>
        <w:tc>
          <w:tcPr/>
          <w:p>
            <w:pPr>
              <w:pStyle w:val="Compact"/>
            </w:pPr>
            <w:r>
              <w:t xml:space="preserve">Shows future capital and lifecycle demand.</w:t>
            </w:r>
          </w:p>
        </w:tc>
      </w:tr>
      <w:tr>
        <w:tc>
          <w:tcPr/>
          <w:p>
            <w:pPr>
              <w:pStyle w:val="Compact"/>
            </w:pPr>
            <w:r>
              <w:t xml:space="preserve">Number of uncontrolled remote-access paths removed</w:t>
            </w:r>
          </w:p>
        </w:tc>
        <w:tc>
          <w:tcPr/>
          <w:p>
            <w:pPr>
              <w:pStyle w:val="Compact"/>
            </w:pPr>
            <w:r>
              <w:t xml:space="preserve">Shows cyber-risk reduction.</w:t>
            </w:r>
          </w:p>
        </w:tc>
      </w:tr>
      <w:tr>
        <w:tc>
          <w:tcPr/>
          <w:p>
            <w:pPr>
              <w:pStyle w:val="Compact"/>
            </w:pPr>
            <w:r>
              <w:t xml:space="preserve">Number of single points of failure removed</w:t>
            </w:r>
          </w:p>
        </w:tc>
        <w:tc>
          <w:tcPr/>
          <w:p>
            <w:pPr>
              <w:pStyle w:val="Compact"/>
            </w:pPr>
            <w:r>
              <w:t xml:space="preserve">Shows operational resilience improvement.</w:t>
            </w:r>
          </w:p>
        </w:tc>
      </w:tr>
    </w:tbl>
    <w:p>
      <w:pPr>
        <w:pStyle w:val="BodyText"/>
      </w:pPr>
      <w:r>
        <w:t xml:space="preserve">The goal is not to report more data. The goal is to report the right data: risk, readiness, funding, delivery and benefit.</w:t>
      </w:r>
    </w:p>
    <w:p>
      <w:r>
        <w:pict>
          <v:rect style="width:0;height:1.5pt" o:hralign="center" o:hrstd="t" o:hr="t"/>
        </w:pict>
      </w:r>
    </w:p>
    <w:bookmarkEnd w:id="60"/>
    <w:bookmarkStart w:id="66" w:name="recommended-implementation-plan"/>
    <w:p>
      <w:pPr>
        <w:pStyle w:val="Heading2"/>
      </w:pPr>
      <w:r>
        <w:t xml:space="preserve">13. Recommended Implementation Plan</w:t>
      </w:r>
    </w:p>
    <w:bookmarkStart w:id="61" w:name="X5a4a79d1ce95783749b3df4ac7e08516d9e4e0c"/>
    <w:p>
      <w:pPr>
        <w:pStyle w:val="Heading3"/>
      </w:pPr>
      <w:r>
        <w:t xml:space="preserve">Phase 1: Mobilise and Control the Baseline</w:t>
      </w:r>
    </w:p>
    <w:p>
      <w:pPr>
        <w:pStyle w:val="FirstParagraph"/>
      </w:pPr>
      <w:r>
        <w:t xml:space="preserve">Duration: 2 weeks</w:t>
      </w:r>
    </w:p>
    <w:p>
      <w:pPr>
        <w:pStyle w:val="BodyText"/>
      </w:pPr>
      <w:r>
        <w:t xml:space="preserve">Actions:</w:t>
      </w:r>
    </w:p>
    <w:p>
      <w:pPr>
        <w:pStyle w:val="Compact"/>
        <w:numPr>
          <w:ilvl w:val="0"/>
          <w:numId w:val="1041"/>
        </w:numPr>
      </w:pPr>
      <w:r>
        <w:t xml:space="preserve">Confirm executive sponsor.</w:t>
      </w:r>
    </w:p>
    <w:p>
      <w:pPr>
        <w:pStyle w:val="Compact"/>
        <w:numPr>
          <w:ilvl w:val="0"/>
          <w:numId w:val="1041"/>
        </w:numPr>
      </w:pPr>
      <w:r>
        <w:t xml:space="preserve">Confirm programme board.</w:t>
      </w:r>
    </w:p>
    <w:p>
      <w:pPr>
        <w:pStyle w:val="Compact"/>
        <w:numPr>
          <w:ilvl w:val="0"/>
          <w:numId w:val="1041"/>
        </w:numPr>
      </w:pPr>
      <w:r>
        <w:t xml:space="preserve">Freeze current register as version 0.</w:t>
      </w:r>
    </w:p>
    <w:p>
      <w:pPr>
        <w:pStyle w:val="Compact"/>
        <w:numPr>
          <w:ilvl w:val="0"/>
          <w:numId w:val="1041"/>
        </w:numPr>
      </w:pPr>
      <w:r>
        <w:t xml:space="preserve">Define data dictionary.</w:t>
      </w:r>
    </w:p>
    <w:p>
      <w:pPr>
        <w:pStyle w:val="Compact"/>
        <w:numPr>
          <w:ilvl w:val="0"/>
          <w:numId w:val="1041"/>
        </w:numPr>
      </w:pPr>
      <w:r>
        <w:t xml:space="preserve">Define risk scoring model.</w:t>
      </w:r>
    </w:p>
    <w:p>
      <w:pPr>
        <w:pStyle w:val="Compact"/>
        <w:numPr>
          <w:ilvl w:val="0"/>
          <w:numId w:val="1041"/>
        </w:numPr>
      </w:pPr>
      <w:r>
        <w:t xml:space="preserve">Define governance gates.</w:t>
      </w:r>
    </w:p>
    <w:p>
      <w:pPr>
        <w:pStyle w:val="Compact"/>
        <w:numPr>
          <w:ilvl w:val="0"/>
          <w:numId w:val="1041"/>
        </w:numPr>
      </w:pPr>
      <w:r>
        <w:t xml:space="preserve">Confirm application ownership.</w:t>
      </w:r>
    </w:p>
    <w:p>
      <w:pPr>
        <w:pStyle w:val="Compact"/>
        <w:numPr>
          <w:ilvl w:val="0"/>
          <w:numId w:val="1041"/>
        </w:numPr>
      </w:pPr>
      <w:r>
        <w:t xml:space="preserve">Confirm initial users and roles.</w:t>
      </w:r>
    </w:p>
    <w:p>
      <w:pPr>
        <w:pStyle w:val="FirstParagraph"/>
      </w:pPr>
      <w:r>
        <w:t xml:space="preserve">Outputs:</w:t>
      </w:r>
    </w:p>
    <w:p>
      <w:pPr>
        <w:pStyle w:val="Compact"/>
        <w:numPr>
          <w:ilvl w:val="0"/>
          <w:numId w:val="1042"/>
        </w:numPr>
      </w:pPr>
      <w:r>
        <w:t xml:space="preserve">Programme charter.</w:t>
      </w:r>
    </w:p>
    <w:p>
      <w:pPr>
        <w:pStyle w:val="Compact"/>
        <w:numPr>
          <w:ilvl w:val="0"/>
          <w:numId w:val="1042"/>
        </w:numPr>
      </w:pPr>
      <w:r>
        <w:t xml:space="preserve">Controlled data baseline.</w:t>
      </w:r>
    </w:p>
    <w:p>
      <w:pPr>
        <w:pStyle w:val="Compact"/>
        <w:numPr>
          <w:ilvl w:val="0"/>
          <w:numId w:val="1042"/>
        </w:numPr>
      </w:pPr>
      <w:r>
        <w:t xml:space="preserve">Agreed scoring model.</w:t>
      </w:r>
    </w:p>
    <w:p>
      <w:pPr>
        <w:pStyle w:val="Compact"/>
        <w:numPr>
          <w:ilvl w:val="0"/>
          <w:numId w:val="1042"/>
        </w:numPr>
      </w:pPr>
      <w:r>
        <w:t xml:space="preserve">Agreed governance model.</w:t>
      </w:r>
    </w:p>
    <w:bookmarkEnd w:id="61"/>
    <w:bookmarkStart w:id="62" w:name="phase-2-validate-critical-systems"/>
    <w:p>
      <w:pPr>
        <w:pStyle w:val="Heading3"/>
      </w:pPr>
      <w:r>
        <w:t xml:space="preserve">Phase 2: Validate Critical Systems</w:t>
      </w:r>
    </w:p>
    <w:p>
      <w:pPr>
        <w:pStyle w:val="FirstParagraph"/>
      </w:pPr>
      <w:r>
        <w:t xml:space="preserve">Duration: 4 to 6 weeks</w:t>
      </w:r>
    </w:p>
    <w:p>
      <w:pPr>
        <w:pStyle w:val="BodyText"/>
      </w:pPr>
      <w:r>
        <w:t xml:space="preserve">Actions:</w:t>
      </w:r>
    </w:p>
    <w:p>
      <w:pPr>
        <w:pStyle w:val="Compact"/>
        <w:numPr>
          <w:ilvl w:val="0"/>
          <w:numId w:val="1043"/>
        </w:numPr>
      </w:pPr>
      <w:r>
        <w:t xml:space="preserve">Validate highest-criticality SCADA systems.</w:t>
      </w:r>
    </w:p>
    <w:p>
      <w:pPr>
        <w:pStyle w:val="Compact"/>
        <w:numPr>
          <w:ilvl w:val="0"/>
          <w:numId w:val="1043"/>
        </w:numPr>
      </w:pPr>
      <w:r>
        <w:t xml:space="preserve">Confirm asset hierarchy.</w:t>
      </w:r>
    </w:p>
    <w:p>
      <w:pPr>
        <w:pStyle w:val="Compact"/>
        <w:numPr>
          <w:ilvl w:val="0"/>
          <w:numId w:val="1043"/>
        </w:numPr>
      </w:pPr>
      <w:r>
        <w:t xml:space="preserve">Confirm vendor support status.</w:t>
      </w:r>
    </w:p>
    <w:p>
      <w:pPr>
        <w:pStyle w:val="Compact"/>
        <w:numPr>
          <w:ilvl w:val="0"/>
          <w:numId w:val="1043"/>
        </w:numPr>
      </w:pPr>
      <w:r>
        <w:t xml:space="preserve">Confirm backup and restore position.</w:t>
      </w:r>
    </w:p>
    <w:p>
      <w:pPr>
        <w:pStyle w:val="Compact"/>
        <w:numPr>
          <w:ilvl w:val="0"/>
          <w:numId w:val="1043"/>
        </w:numPr>
      </w:pPr>
      <w:r>
        <w:t xml:space="preserve">Confirm dependencies.</w:t>
      </w:r>
    </w:p>
    <w:p>
      <w:pPr>
        <w:pStyle w:val="Compact"/>
        <w:numPr>
          <w:ilvl w:val="0"/>
          <w:numId w:val="1043"/>
        </w:numPr>
      </w:pPr>
      <w:r>
        <w:t xml:space="preserve">Confirm cyber exposure.</w:t>
      </w:r>
    </w:p>
    <w:p>
      <w:pPr>
        <w:pStyle w:val="Compact"/>
        <w:numPr>
          <w:ilvl w:val="0"/>
          <w:numId w:val="1043"/>
        </w:numPr>
      </w:pPr>
      <w:r>
        <w:t xml:space="preserve">Capture evidence confidence.</w:t>
      </w:r>
    </w:p>
    <w:p>
      <w:pPr>
        <w:pStyle w:val="FirstParagraph"/>
      </w:pPr>
      <w:r>
        <w:t xml:space="preserve">Outputs:</w:t>
      </w:r>
    </w:p>
    <w:p>
      <w:pPr>
        <w:pStyle w:val="Compact"/>
        <w:numPr>
          <w:ilvl w:val="0"/>
          <w:numId w:val="1044"/>
        </w:numPr>
      </w:pPr>
      <w:r>
        <w:t xml:space="preserve">Verified critical-system baseline.</w:t>
      </w:r>
    </w:p>
    <w:p>
      <w:pPr>
        <w:pStyle w:val="Compact"/>
        <w:numPr>
          <w:ilvl w:val="0"/>
          <w:numId w:val="1044"/>
        </w:numPr>
      </w:pPr>
      <w:r>
        <w:t xml:space="preserve">Initial high-risk list.</w:t>
      </w:r>
    </w:p>
    <w:p>
      <w:pPr>
        <w:pStyle w:val="Compact"/>
        <w:numPr>
          <w:ilvl w:val="0"/>
          <w:numId w:val="1044"/>
        </w:numPr>
      </w:pPr>
      <w:r>
        <w:t xml:space="preserve">Data-quality dashboard.</w:t>
      </w:r>
    </w:p>
    <w:p>
      <w:pPr>
        <w:pStyle w:val="Compact"/>
        <w:numPr>
          <w:ilvl w:val="0"/>
          <w:numId w:val="1044"/>
        </w:numPr>
      </w:pPr>
      <w:r>
        <w:t xml:space="preserve">Evidence gap register.</w:t>
      </w:r>
    </w:p>
    <w:bookmarkEnd w:id="62"/>
    <w:bookmarkStart w:id="63" w:name="phase-3-build-the-programme-portfolio"/>
    <w:p>
      <w:pPr>
        <w:pStyle w:val="Heading3"/>
      </w:pPr>
      <w:r>
        <w:t xml:space="preserve">Phase 3: Build the Programme Portfolio</w:t>
      </w:r>
    </w:p>
    <w:p>
      <w:pPr>
        <w:pStyle w:val="FirstParagraph"/>
      </w:pPr>
      <w:r>
        <w:t xml:space="preserve">Duration: 4 weeks</w:t>
      </w:r>
    </w:p>
    <w:p>
      <w:pPr>
        <w:pStyle w:val="BodyText"/>
      </w:pPr>
      <w:r>
        <w:t xml:space="preserve">Actions:</w:t>
      </w:r>
    </w:p>
    <w:p>
      <w:pPr>
        <w:pStyle w:val="Compact"/>
        <w:numPr>
          <w:ilvl w:val="0"/>
          <w:numId w:val="1045"/>
        </w:numPr>
      </w:pPr>
      <w:r>
        <w:t xml:space="preserve">Convert high-risk assets into work packages.</w:t>
      </w:r>
    </w:p>
    <w:p>
      <w:pPr>
        <w:pStyle w:val="Compact"/>
        <w:numPr>
          <w:ilvl w:val="0"/>
          <w:numId w:val="1045"/>
        </w:numPr>
      </w:pPr>
      <w:r>
        <w:t xml:space="preserve">Identify Wave 0 containment actions.</w:t>
      </w:r>
    </w:p>
    <w:p>
      <w:pPr>
        <w:pStyle w:val="Compact"/>
        <w:numPr>
          <w:ilvl w:val="0"/>
          <w:numId w:val="1045"/>
        </w:numPr>
      </w:pPr>
      <w:r>
        <w:t xml:space="preserve">Define Wave 1 priority upgrades.</w:t>
      </w:r>
    </w:p>
    <w:p>
      <w:pPr>
        <w:pStyle w:val="Compact"/>
        <w:numPr>
          <w:ilvl w:val="0"/>
          <w:numId w:val="1045"/>
        </w:numPr>
      </w:pPr>
      <w:r>
        <w:t xml:space="preserve">Estimate cost and resource needs.</w:t>
      </w:r>
    </w:p>
    <w:p>
      <w:pPr>
        <w:pStyle w:val="Compact"/>
        <w:numPr>
          <w:ilvl w:val="0"/>
          <w:numId w:val="1045"/>
        </w:numPr>
      </w:pPr>
      <w:r>
        <w:t xml:space="preserve">Align with outage windows.</w:t>
      </w:r>
    </w:p>
    <w:p>
      <w:pPr>
        <w:pStyle w:val="Compact"/>
        <w:numPr>
          <w:ilvl w:val="0"/>
          <w:numId w:val="1045"/>
        </w:numPr>
      </w:pPr>
      <w:r>
        <w:t xml:space="preserve">Identify procurement requirements.</w:t>
      </w:r>
    </w:p>
    <w:p>
      <w:pPr>
        <w:pStyle w:val="FirstParagraph"/>
      </w:pPr>
      <w:r>
        <w:t xml:space="preserve">Outputs:</w:t>
      </w:r>
    </w:p>
    <w:p>
      <w:pPr>
        <w:pStyle w:val="Compact"/>
        <w:numPr>
          <w:ilvl w:val="0"/>
          <w:numId w:val="1046"/>
        </w:numPr>
      </w:pPr>
      <w:r>
        <w:t xml:space="preserve">Programme backlog.</w:t>
      </w:r>
    </w:p>
    <w:p>
      <w:pPr>
        <w:pStyle w:val="Compact"/>
        <w:numPr>
          <w:ilvl w:val="0"/>
          <w:numId w:val="1046"/>
        </w:numPr>
      </w:pPr>
      <w:r>
        <w:t xml:space="preserve">Delivery waves.</w:t>
      </w:r>
    </w:p>
    <w:p>
      <w:pPr>
        <w:pStyle w:val="Compact"/>
        <w:numPr>
          <w:ilvl w:val="0"/>
          <w:numId w:val="1046"/>
        </w:numPr>
      </w:pPr>
      <w:r>
        <w:t xml:space="preserve">ROM cost profile.</w:t>
      </w:r>
    </w:p>
    <w:p>
      <w:pPr>
        <w:pStyle w:val="Compact"/>
        <w:numPr>
          <w:ilvl w:val="0"/>
          <w:numId w:val="1046"/>
        </w:numPr>
      </w:pPr>
      <w:r>
        <w:t xml:space="preserve">Risk-reduction roadmap.</w:t>
      </w:r>
    </w:p>
    <w:p>
      <w:pPr>
        <w:pStyle w:val="Compact"/>
        <w:numPr>
          <w:ilvl w:val="0"/>
          <w:numId w:val="1046"/>
        </w:numPr>
      </w:pPr>
      <w:r>
        <w:t xml:space="preserve">Funding request.</w:t>
      </w:r>
    </w:p>
    <w:bookmarkEnd w:id="63"/>
    <w:bookmarkStart w:id="64" w:name="phase-4-pilot-delivery"/>
    <w:p>
      <w:pPr>
        <w:pStyle w:val="Heading3"/>
      </w:pPr>
      <w:r>
        <w:t xml:space="preserve">Phase 4: Pilot Delivery</w:t>
      </w:r>
    </w:p>
    <w:p>
      <w:pPr>
        <w:pStyle w:val="FirstParagraph"/>
      </w:pPr>
      <w:r>
        <w:t xml:space="preserve">Duration: 8 to 12 weeks, depending on site complexity</w:t>
      </w:r>
    </w:p>
    <w:p>
      <w:pPr>
        <w:pStyle w:val="BodyText"/>
      </w:pPr>
      <w:r>
        <w:t xml:space="preserve">Actions:</w:t>
      </w:r>
    </w:p>
    <w:p>
      <w:pPr>
        <w:pStyle w:val="Compact"/>
        <w:numPr>
          <w:ilvl w:val="0"/>
          <w:numId w:val="1047"/>
        </w:numPr>
      </w:pPr>
      <w:r>
        <w:t xml:space="preserve">Select pilot system or site.</w:t>
      </w:r>
    </w:p>
    <w:p>
      <w:pPr>
        <w:pStyle w:val="Compact"/>
        <w:numPr>
          <w:ilvl w:val="0"/>
          <w:numId w:val="1047"/>
        </w:numPr>
      </w:pPr>
      <w:r>
        <w:t xml:space="preserve">Complete design.</w:t>
      </w:r>
    </w:p>
    <w:p>
      <w:pPr>
        <w:pStyle w:val="Compact"/>
        <w:numPr>
          <w:ilvl w:val="0"/>
          <w:numId w:val="1047"/>
        </w:numPr>
      </w:pPr>
      <w:r>
        <w:t xml:space="preserve">Procure components.</w:t>
      </w:r>
    </w:p>
    <w:p>
      <w:pPr>
        <w:pStyle w:val="Compact"/>
        <w:numPr>
          <w:ilvl w:val="0"/>
          <w:numId w:val="1047"/>
        </w:numPr>
      </w:pPr>
      <w:r>
        <w:t xml:space="preserve">Build test environment.</w:t>
      </w:r>
    </w:p>
    <w:p>
      <w:pPr>
        <w:pStyle w:val="Compact"/>
        <w:numPr>
          <w:ilvl w:val="0"/>
          <w:numId w:val="1047"/>
        </w:numPr>
      </w:pPr>
      <w:r>
        <w:t xml:space="preserve">Complete FAT.</w:t>
      </w:r>
    </w:p>
    <w:p>
      <w:pPr>
        <w:pStyle w:val="Compact"/>
        <w:numPr>
          <w:ilvl w:val="0"/>
          <w:numId w:val="1047"/>
        </w:numPr>
      </w:pPr>
      <w:r>
        <w:t xml:space="preserve">Execute controlled cutover.</w:t>
      </w:r>
    </w:p>
    <w:p>
      <w:pPr>
        <w:pStyle w:val="Compact"/>
        <w:numPr>
          <w:ilvl w:val="0"/>
          <w:numId w:val="1047"/>
        </w:numPr>
      </w:pPr>
      <w:r>
        <w:t xml:space="preserve">Complete SAT.</w:t>
      </w:r>
    </w:p>
    <w:p>
      <w:pPr>
        <w:pStyle w:val="Compact"/>
        <w:numPr>
          <w:ilvl w:val="0"/>
          <w:numId w:val="1047"/>
        </w:numPr>
      </w:pPr>
      <w:r>
        <w:t xml:space="preserve">Update playbook.</w:t>
      </w:r>
    </w:p>
    <w:p>
      <w:pPr>
        <w:pStyle w:val="FirstParagraph"/>
      </w:pPr>
      <w:r>
        <w:t xml:space="preserve">Outputs:</w:t>
      </w:r>
    </w:p>
    <w:p>
      <w:pPr>
        <w:pStyle w:val="Compact"/>
        <w:numPr>
          <w:ilvl w:val="0"/>
          <w:numId w:val="1048"/>
        </w:numPr>
      </w:pPr>
      <w:r>
        <w:t xml:space="preserve">Accepted pilot.</w:t>
      </w:r>
    </w:p>
    <w:p>
      <w:pPr>
        <w:pStyle w:val="Compact"/>
        <w:numPr>
          <w:ilvl w:val="0"/>
          <w:numId w:val="1048"/>
        </w:numPr>
      </w:pPr>
      <w:r>
        <w:t xml:space="preserve">Updated standards.</w:t>
      </w:r>
    </w:p>
    <w:p>
      <w:pPr>
        <w:pStyle w:val="Compact"/>
        <w:numPr>
          <w:ilvl w:val="0"/>
          <w:numId w:val="1048"/>
        </w:numPr>
      </w:pPr>
      <w:r>
        <w:t xml:space="preserve">Updated migration playbook.</w:t>
      </w:r>
    </w:p>
    <w:p>
      <w:pPr>
        <w:pStyle w:val="Compact"/>
        <w:numPr>
          <w:ilvl w:val="0"/>
          <w:numId w:val="1048"/>
        </w:numPr>
      </w:pPr>
      <w:r>
        <w:t xml:space="preserve">Improved cost and schedule model.</w:t>
      </w:r>
    </w:p>
    <w:bookmarkEnd w:id="64"/>
    <w:bookmarkStart w:id="65" w:name="phase-5-scale-delivery"/>
    <w:p>
      <w:pPr>
        <w:pStyle w:val="Heading3"/>
      </w:pPr>
      <w:r>
        <w:t xml:space="preserve">Phase 5: Scale Delivery</w:t>
      </w:r>
    </w:p>
    <w:p>
      <w:pPr>
        <w:pStyle w:val="FirstParagraph"/>
      </w:pPr>
      <w:r>
        <w:t xml:space="preserve">Duration: Multi-year</w:t>
      </w:r>
    </w:p>
    <w:p>
      <w:pPr>
        <w:pStyle w:val="BodyText"/>
      </w:pPr>
      <w:r>
        <w:t xml:space="preserve">Actions:</w:t>
      </w:r>
    </w:p>
    <w:p>
      <w:pPr>
        <w:pStyle w:val="Compact"/>
        <w:numPr>
          <w:ilvl w:val="0"/>
          <w:numId w:val="1049"/>
        </w:numPr>
      </w:pPr>
      <w:r>
        <w:t xml:space="preserve">Execute delivery waves.</w:t>
      </w:r>
    </w:p>
    <w:p>
      <w:pPr>
        <w:pStyle w:val="Compact"/>
        <w:numPr>
          <w:ilvl w:val="0"/>
          <w:numId w:val="1049"/>
        </w:numPr>
      </w:pPr>
      <w:r>
        <w:t xml:space="preserve">Maintain live dashboard.</w:t>
      </w:r>
    </w:p>
    <w:p>
      <w:pPr>
        <w:pStyle w:val="Compact"/>
        <w:numPr>
          <w:ilvl w:val="0"/>
          <w:numId w:val="1049"/>
        </w:numPr>
      </w:pPr>
      <w:r>
        <w:t xml:space="preserve">Update risk and funding profile.</w:t>
      </w:r>
    </w:p>
    <w:p>
      <w:pPr>
        <w:pStyle w:val="Compact"/>
        <w:numPr>
          <w:ilvl w:val="0"/>
          <w:numId w:val="1049"/>
        </w:numPr>
      </w:pPr>
      <w:r>
        <w:t xml:space="preserve">Track benefits.</w:t>
      </w:r>
    </w:p>
    <w:p>
      <w:pPr>
        <w:pStyle w:val="Compact"/>
        <w:numPr>
          <w:ilvl w:val="0"/>
          <w:numId w:val="1049"/>
        </w:numPr>
      </w:pPr>
      <w:r>
        <w:t xml:space="preserve">Close retired systems.</w:t>
      </w:r>
    </w:p>
    <w:p>
      <w:pPr>
        <w:pStyle w:val="Compact"/>
        <w:numPr>
          <w:ilvl w:val="0"/>
          <w:numId w:val="1049"/>
        </w:numPr>
      </w:pPr>
      <w:r>
        <w:t xml:space="preserve">Maintain lifecycle governance.</w:t>
      </w:r>
    </w:p>
    <w:p>
      <w:pPr>
        <w:pStyle w:val="FirstParagraph"/>
      </w:pPr>
      <w:r>
        <w:t xml:space="preserve">Outputs:</w:t>
      </w:r>
    </w:p>
    <w:p>
      <w:pPr>
        <w:pStyle w:val="Compact"/>
        <w:numPr>
          <w:ilvl w:val="0"/>
          <w:numId w:val="1050"/>
        </w:numPr>
      </w:pPr>
      <w:r>
        <w:t xml:space="preserve">Reduced SCADA obsolescence exposure.</w:t>
      </w:r>
    </w:p>
    <w:p>
      <w:pPr>
        <w:pStyle w:val="Compact"/>
        <w:numPr>
          <w:ilvl w:val="0"/>
          <w:numId w:val="1050"/>
        </w:numPr>
      </w:pPr>
      <w:r>
        <w:t xml:space="preserve">Improved cyber and operational resilience.</w:t>
      </w:r>
    </w:p>
    <w:p>
      <w:pPr>
        <w:pStyle w:val="Compact"/>
        <w:numPr>
          <w:ilvl w:val="0"/>
          <w:numId w:val="1050"/>
        </w:numPr>
      </w:pPr>
      <w:r>
        <w:t xml:space="preserve">Sustained lifecycle-management capability.</w:t>
      </w:r>
    </w:p>
    <w:p>
      <w:r>
        <w:pict>
          <v:rect style="width:0;height:1.5pt" o:hralign="center" o:hrstd="t" o:hr="t"/>
        </w:pict>
      </w:r>
    </w:p>
    <w:bookmarkEnd w:id="65"/>
    <w:bookmarkEnd w:id="66"/>
    <w:bookmarkStart w:id="67" w:name="strategic-recommendation"/>
    <w:p>
      <w:pPr>
        <w:pStyle w:val="Heading2"/>
      </w:pPr>
      <w:r>
        <w:t xml:space="preserve">14. Strategic Recommendation</w:t>
      </w:r>
    </w:p>
    <w:p>
      <w:pPr>
        <w:pStyle w:val="FirstParagraph"/>
      </w:pPr>
      <w:r>
        <w:t xml:space="preserve">The organisation should formally approve the creation of a</w:t>
      </w:r>
      <w:r>
        <w:t xml:space="preserve"> </w:t>
      </w:r>
      <w:r>
        <w:rPr>
          <w:b/>
          <w:bCs/>
        </w:rPr>
        <w:t xml:space="preserve">SCADA Obsolescence Transformation Programme</w:t>
      </w:r>
      <w:r>
        <w:t xml:space="preserve"> </w:t>
      </w:r>
      <w:r>
        <w:t xml:space="preserve">supported by the new dynamic application platform.</w:t>
      </w:r>
    </w:p>
    <w:p>
      <w:pPr>
        <w:pStyle w:val="BodyText"/>
      </w:pPr>
      <w:r>
        <w:t xml:space="preserve">The programme should be positioned as a strategic operational-resilience initiative, not a tactical asset-refresh exercise.</w:t>
      </w:r>
    </w:p>
    <w:p>
      <w:pPr>
        <w:pStyle w:val="BodyText"/>
      </w:pPr>
      <w:r>
        <w:t xml:space="preserve">The immediate approval should cover:</w:t>
      </w:r>
    </w:p>
    <w:p>
      <w:pPr>
        <w:pStyle w:val="Compact"/>
        <w:numPr>
          <w:ilvl w:val="0"/>
          <w:numId w:val="1051"/>
        </w:numPr>
      </w:pPr>
      <w:r>
        <w:t xml:space="preserve">A 12-week portfolio-definition phase.</w:t>
      </w:r>
    </w:p>
    <w:p>
      <w:pPr>
        <w:pStyle w:val="Compact"/>
        <w:numPr>
          <w:ilvl w:val="0"/>
          <w:numId w:val="1051"/>
        </w:numPr>
      </w:pPr>
      <w:r>
        <w:t xml:space="preserve">Deployment and controlled use of the dynamic SCADA obsolescence platform.</w:t>
      </w:r>
    </w:p>
    <w:p>
      <w:pPr>
        <w:pStyle w:val="Compact"/>
        <w:numPr>
          <w:ilvl w:val="0"/>
          <w:numId w:val="1051"/>
        </w:numPr>
      </w:pPr>
      <w:r>
        <w:t xml:space="preserve">Validation of critical SCADA and OT systems.</w:t>
      </w:r>
    </w:p>
    <w:p>
      <w:pPr>
        <w:pStyle w:val="Compact"/>
        <w:numPr>
          <w:ilvl w:val="0"/>
          <w:numId w:val="1051"/>
        </w:numPr>
      </w:pPr>
      <w:r>
        <w:t xml:space="preserve">Creation of Wave 0 containment actions.</w:t>
      </w:r>
    </w:p>
    <w:p>
      <w:pPr>
        <w:pStyle w:val="Compact"/>
        <w:numPr>
          <w:ilvl w:val="0"/>
          <w:numId w:val="1051"/>
        </w:numPr>
      </w:pPr>
      <w:r>
        <w:t xml:space="preserve">Development of a prioritised multi-year investment roadmap.</w:t>
      </w:r>
    </w:p>
    <w:p>
      <w:pPr>
        <w:pStyle w:val="Compact"/>
        <w:numPr>
          <w:ilvl w:val="0"/>
          <w:numId w:val="1051"/>
        </w:numPr>
      </w:pPr>
      <w:r>
        <w:t xml:space="preserve">Selection of a pilot upgrade package.</w:t>
      </w:r>
    </w:p>
    <w:p>
      <w:pPr>
        <w:pStyle w:val="Compact"/>
        <w:numPr>
          <w:ilvl w:val="0"/>
          <w:numId w:val="1051"/>
        </w:numPr>
      </w:pPr>
      <w:r>
        <w:t xml:space="preserve">Establishment of lifecycle governance to prevent recurrence.</w:t>
      </w:r>
    </w:p>
    <w:p>
      <w:pPr>
        <w:pStyle w:val="FirstParagraph"/>
      </w:pPr>
      <w:r>
        <w:t xml:space="preserve">The expected outcome is a controlled, evidence-led and risk-prioritised programme that converts static obsolescence records into actionable delivery intelligence. This will improve operational resilience, reduce cyber exposure, improve capital planning, strengthen supplier accountability and give executives a clear, defensible basis for SCADA upgrade investment.</w:t>
      </w:r>
    </w:p>
    <w:p>
      <w:r>
        <w:pict>
          <v:rect style="width:0;height:1.5pt" o:hralign="center" o:hrstd="t" o:hr="t"/>
        </w:pict>
      </w:r>
    </w:p>
    <w:bookmarkEnd w:id="67"/>
    <w:bookmarkStart w:id="68" w:name="closing-statement"/>
    <w:p>
      <w:pPr>
        <w:pStyle w:val="Heading2"/>
      </w:pPr>
      <w:r>
        <w:t xml:space="preserve">15. Closing Statement</w:t>
      </w:r>
    </w:p>
    <w:p>
      <w:pPr>
        <w:pStyle w:val="FirstParagraph"/>
      </w:pPr>
      <w:r>
        <w:t xml:space="preserve">SCADA obsolescence is not simply a technology-ageing problem. It is a compound operational-risk issue involving safety, availability, cybersecurity, supportability, recoverability, supplier dependency and long-term capital planning.</w:t>
      </w:r>
    </w:p>
    <w:p>
      <w:pPr>
        <w:pStyle w:val="BodyText"/>
      </w:pPr>
      <w:r>
        <w:t xml:space="preserve">The proposed framework and application provide the structure needed to manage that risk intelligently.</w:t>
      </w:r>
    </w:p>
    <w:p>
      <w:pPr>
        <w:pStyle w:val="BodyText"/>
      </w:pPr>
      <w:r>
        <w:t xml:space="preserve">By moving from static files to dynamic portfolio governance, the organisation can make better decisions, fund the right interventions, deliver upgrades safely and prevent today’s register from becoming tomorrow’s crisis.</w:t>
      </w:r>
    </w:p>
    <w:bookmarkEnd w:id="68"/>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2026-06-25T11:15:47Z</dcterms:created>
  <dcterms:modified xsi:type="dcterms:W3CDTF">2026-06-25T11:15:47Z</dcterms:modified>
</cp:coreProperties>
</file>

<file path=docProps/custom.xml><?xml version="1.0" encoding="utf-8"?>
<Properties xmlns="http://schemas.openxmlformats.org/officeDocument/2006/custom-properties" xmlns:vt="http://schemas.openxmlformats.org/officeDocument/2006/docPropsVTypes"/>
</file>