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0F766E"/>
          <w:sz w:val="22"/>
          <w:szCs w:val="22"/>
        </w:rPr>
        <w:t xml:space="preserve">DIIaC PatchForge</w:t>
      </w:r>
      <w:r>
        <w:rPr>
          <w:color w:val="5E6B76"/>
          <w:sz w:val="22"/>
          <w:szCs w:val="22"/>
        </w:rPr>
        <w:t xml:space="preserve"> | Signed Patch Governance</w:t>
      </w:r>
    </w:p>
    <w:p>
      <w:pPr>
        <w:pBdr>
          <w:left w:val="single" w:color="0F766E" w:sz="16"/>
        </w:pBdr>
        <w:shd w:fill="E6EEF7" w:val="clear"/>
        <w:spacing w:after="200" w:before="80"/>
        <w:ind w:left="160"/>
      </w:pPr>
      <w:r>
        <w:rPr>
          <w:b/>
          <w:bCs/>
          <w:color w:val="1D3C5A"/>
          <w:sz w:val="32"/>
          <w:szCs w:val="32"/>
        </w:rPr>
        <w:br/>
        <w:t xml:space="preserve">Customer Patch Governance Pack</w:t>
      </w:r>
      <w:r>
        <w:rPr>
          <w:color w:val="5E6B76"/>
          <w:sz w:val="20"/>
          <w:szCs w:val="20"/>
        </w:rPr>
        <w:br/>
        <w:t xml:space="preserve">Customer assurance | CVE-2026-48172 | Pack PF-20260527-2d9f160a</w:t>
      </w:r>
      <w:r>
        <w:rPr>
          <w:color w:val="17212B"/>
          <w:sz w:val="20"/>
          <w:szCs w:val="20"/>
        </w:rPr>
        <w:br/>
        <w:t xml:space="preserve">Generated 28/05/2026, 14:12:53. Governed posture: Urgent scope confirmation required - final remediation decision blocked pending evidence.. Readiness: Blocked. Final approval not issued.</w:t>
      </w:r>
    </w:p>
    <w:p>
      <w:pPr>
        <w:pStyle w:val="Heading1"/>
      </w:pPr>
      <w:r>
        <w:t xml:space="preserve">Report Version Stamp</w:t>
      </w:r>
    </w:p>
    <w:p>
      <w:pPr>
        <w:spacing w:after="70"/>
        <w:ind w:left="180"/>
      </w:pPr>
      <w:r>
        <w:rPr>
          <w:b/>
          <w:bCs/>
          <w:color w:val="1D3C5A"/>
          <w:sz w:val="20"/>
          <w:szCs w:val="20"/>
        </w:rPr>
        <w:t xml:space="preserve">report_template_version: </w:t>
      </w:r>
      <w:r>
        <w:rPr>
          <w:color w:val="17212B"/>
          <w:sz w:val="20"/>
          <w:szCs w:val="20"/>
        </w:rPr>
        <w:t xml:space="preserve">patchforge-report-template.v2026-05-27.2</w:t>
      </w:r>
    </w:p>
    <w:p>
      <w:pPr>
        <w:spacing w:after="70"/>
        <w:ind w:left="180"/>
      </w:pPr>
      <w:r>
        <w:rPr>
          <w:b/>
          <w:bCs/>
          <w:color w:val="1D3C5A"/>
          <w:sz w:val="20"/>
          <w:szCs w:val="20"/>
        </w:rPr>
        <w:t xml:space="preserve">renderer_commit: </w:t>
      </w:r>
      <w:r>
        <w:rPr>
          <w:color w:val="17212B"/>
          <w:sz w:val="20"/>
          <w:szCs w:val="20"/>
        </w:rPr>
        <w:t xml:space="preserve">local</w:t>
      </w:r>
    </w:p>
    <w:p>
      <w:pPr>
        <w:spacing w:after="70"/>
        <w:ind w:left="180"/>
      </w:pPr>
      <w:r>
        <w:rPr>
          <w:b/>
          <w:bCs/>
          <w:color w:val="1D3C5A"/>
          <w:sz w:val="20"/>
          <w:szCs w:val="20"/>
        </w:rPr>
        <w:t xml:space="preserve">image_tag: </w:t>
      </w:r>
      <w:r>
        <w:rPr>
          <w:color w:val="17212B"/>
          <w:sz w:val="20"/>
          <w:szCs w:val="20"/>
        </w:rPr>
        <w:t xml:space="preserve">local</w:t>
      </w:r>
    </w:p>
    <w:p>
      <w:pPr>
        <w:spacing w:after="70"/>
        <w:ind w:left="180"/>
      </w:pPr>
      <w:r>
        <w:rPr>
          <w:b/>
          <w:bCs/>
          <w:color w:val="1D3C5A"/>
          <w:sz w:val="20"/>
          <w:szCs w:val="20"/>
        </w:rPr>
        <w:t xml:space="preserve">generated_from_pack_id: </w:t>
      </w:r>
      <w:r>
        <w:rPr>
          <w:color w:val="17212B"/>
          <w:sz w:val="20"/>
          <w:szCs w:val="20"/>
        </w:rPr>
        <w:t xml:space="preserve">PF-20260527-2d9f160a</w:t>
      </w:r>
    </w:p>
    <w:p>
      <w:pPr>
        <w:spacing w:after="70"/>
        <w:ind w:left="180"/>
      </w:pPr>
      <w:r>
        <w:rPr>
          <w:b/>
          <w:bCs/>
          <w:color w:val="1D3C5A"/>
          <w:sz w:val="20"/>
          <w:szCs w:val="20"/>
        </w:rPr>
        <w:t xml:space="preserve">generated_at: </w:t>
      </w:r>
      <w:r>
        <w:rPr>
          <w:color w:val="17212B"/>
          <w:sz w:val="20"/>
          <w:szCs w:val="20"/>
        </w:rPr>
        <w:t xml:space="preserve">2026-05-28T14:12:53.996Z</w:t>
      </w:r>
    </w:p>
    <w:p>
      <w:pPr>
        <w:spacing w:after="70"/>
        <w:ind w:left="180"/>
      </w:pPr>
      <w:r>
        <w:rPr>
          <w:b/>
          <w:bCs/>
          <w:color w:val="1D3C5A"/>
          <w:sz w:val="20"/>
          <w:szCs w:val="20"/>
        </w:rPr>
        <w:t xml:space="preserve">product_baseline: </w:t>
      </w:r>
      <w:r>
        <w:rPr>
          <w:color w:val="17212B"/>
          <w:sz w:val="20"/>
          <w:szCs w:val="20"/>
        </w:rPr>
        <w:t xml:space="preserve">PF-AZ9-VENDORLENS</w:t>
      </w:r>
    </w:p>
    <w:p>
      <w:pPr>
        <w:spacing w:after="70"/>
        <w:ind w:left="180"/>
      </w:pPr>
      <w:r>
        <w:rPr>
          <w:b/>
          <w:bCs/>
          <w:color w:val="1D3C5A"/>
          <w:sz w:val="20"/>
          <w:szCs w:val="20"/>
        </w:rPr>
        <w:t xml:space="preserve">report_context_version: </w:t>
      </w:r>
      <w:r>
        <w:rPr>
          <w:color w:val="17212B"/>
          <w:sz w:val="20"/>
          <w:szCs w:val="20"/>
        </w:rPr>
        <w:t xml:space="preserve">patchforge-report-context.v2</w:t>
      </w:r>
    </w:p>
    <w:p>
      <w:pPr>
        <w:pStyle w:val="Heading1"/>
      </w:pPr>
      <w:r>
        <w:t xml:space="preserve">Executive Decision Summary</w:t>
      </w:r>
    </w:p>
    <w:p>
      <w:pPr>
        <w:spacing w:after="120"/>
      </w:pPr>
      <w:r>
        <w:t xml:space="preserve">CVE-2026-48172: Urgent scope confirmation required - final remediation decision blocked pending evidence. PatchForge has public-source vulnerability intelligence, but customer asset and service exposure are not yet confirmed. 5 evidence gap(s) remain, and final approval has not been issued.</w:t>
      </w:r>
    </w:p>
    <w:p>
      <w:pPr>
        <w:spacing w:after="120"/>
      </w:pPr>
      <w:r>
        <w:t xml:space="preserve">Final approval not issued.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Recommended posture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Urgent scope confirmation required - final remediation decision blocked pending evidence.</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Next best action</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Confirm customer exposure and patch applicability before selecting emergency change, patch, mitigation, or risk acceptance.</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Confidence</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Low</w:t>
            </w:r>
          </w:p>
        </w:tc>
      </w:tr>
      <w:tr>
        <w:trPr>
          <w:tblHeader w:val="false"/>
        </w:trPr>
        <w:tc>
          <w:tcPr>
            <w:tcW w:type="dxa" w:w="2800"/>
            <w:shd w:fill="FFFFFF" w:val="clear"/>
            <w:tcMar>
              <w:top w:type="dxa" w:w="100"/>
              <w:left w:type="dxa" w:w="120"/>
              <w:bottom w:type="dxa" w:w="100"/>
              <w:right w:type="dxa" w:w="120"/>
            </w:tcMar>
            <w:vAlign w:val="center"/>
          </w:tcPr>
          <w:p>
            <w:pPr>
              <w:spacing w:after="0" w:before="0"/>
              <w:jc w:val="left"/>
            </w:pPr>
            <w:r>
              <w:rPr>
                <w:b/>
                <w:bCs/>
                <w:color w:val="17212B"/>
                <w:sz w:val="19"/>
                <w:szCs w:val="19"/>
              </w:rPr>
              <w:t xml:space="preserve">Human approval</w:t>
            </w:r>
          </w:p>
        </w:tc>
        <w:tc>
          <w:tcPr>
            <w:tcW w:type="dxa" w:w="656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Still required</w:t>
            </w:r>
          </w:p>
        </w:tc>
      </w:tr>
      <w:tr>
        <w:trPr>
          <w:tblHeader w:val="false"/>
        </w:trPr>
        <w:tc>
          <w:tcPr>
            <w:tcW w:type="dxa" w:w="2800"/>
            <w:shd w:fill="EEF3F7" w:val="clear"/>
            <w:tcMar>
              <w:top w:type="dxa" w:w="100"/>
              <w:left w:type="dxa" w:w="120"/>
              <w:bottom w:type="dxa" w:w="100"/>
              <w:right w:type="dxa" w:w="120"/>
            </w:tcMar>
            <w:vAlign w:val="center"/>
          </w:tcPr>
          <w:p>
            <w:pPr>
              <w:spacing w:after="0" w:before="0"/>
              <w:jc w:val="left"/>
            </w:pPr>
            <w:r>
              <w:rPr>
                <w:b/>
                <w:bCs/>
                <w:color w:val="17212B"/>
                <w:sz w:val="19"/>
                <w:szCs w:val="19"/>
              </w:rPr>
              <w:t xml:space="preserve">Decision boundary</w:t>
            </w:r>
          </w:p>
        </w:tc>
        <w:tc>
          <w:tcPr>
            <w:tcW w:type="dxa" w:w="656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Automated evidence preparation is complete where stated; approval, risk acceptance, patch deployment, and closure remain human-controlled</w:t>
            </w:r>
          </w:p>
        </w:tc>
      </w:tr>
    </w:tbl>
    <w:p>
      <w:pPr>
        <w:pStyle w:val="Heading1"/>
      </w:pPr>
      <w:r>
        <w:t xml:space="preserve">Customer Assurance Position</w:t>
      </w:r>
    </w:p>
    <w:p>
      <w:pPr>
        <w:pBdr>
          <w:left w:val="single" w:color="B7791F" w:sz="16"/>
        </w:pBdr>
        <w:shd w:fill="FFF6E4" w:val="clear"/>
        <w:spacing w:after="180" w:before="80"/>
        <w:ind w:left="160"/>
      </w:pPr>
      <w:r>
        <w:rPr>
          <w:b/>
          <w:bCs/>
          <w:color w:val="17212B"/>
        </w:rPr>
        <w:t xml:space="preserve">No customer remediation assurance can be issued yet because affected customer service scope and patch applicability evidence are not reviewed.</w:t>
      </w:r>
    </w:p>
    <w:p>
      <w:pPr>
        <w:pStyle w:val="Heading2"/>
      </w:pPr>
      <w:r>
        <w:t xml:space="preserve">Customer Impact Status</w:t>
      </w:r>
    </w:p>
    <w:p>
      <w:pPr>
        <w:spacing w:after="120"/>
      </w:pPr>
      <w:r>
        <w:t xml:space="preserve">PatchForge has public-source vulnerability intelligence, but customer asset and service exposure are not yet confirmed. Customer impact must be treated as unconfirmed.</w:t>
      </w:r>
    </w:p>
    <w:p>
      <w:pPr>
        <w:pStyle w:val="Heading2"/>
      </w:pPr>
      <w:r>
        <w:t xml:space="preserve">Customer Evidence Required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2"/>
      </w:pPr>
      <w:r>
        <w:t xml:space="preserve">Customer Communication Position</w:t>
      </w:r>
    </w:p>
    <w:p>
      <w:pPr>
        <w:spacing w:after="120"/>
      </w:pPr>
      <w:r>
        <w:t xml:space="preserve">Customer communication should be limited to source-bound public-intelligence awareness and the active scope-confirmation work. Do not state that the customer estate is affected or remediated until reviewed exposure and patch applicability evidence exists.</w:t>
      </w:r>
    </w:p>
    <w:p>
      <w:pPr>
        <w:pStyle w:val="Heading2"/>
      </w:pPr>
      <w:r>
        <w:t xml:space="preserve">What Can Be Shared With Customer</w:t>
      </w:r>
    </w:p>
    <w:p>
      <w:pPr>
        <w:pStyle w:val="ListParagraph"/>
        <w:numPr>
          <w:ilvl w:val="0"/>
          <w:numId w:val="1"/>
        </w:numPr>
        <w:spacing w:after="80"/>
      </w:pPr>
      <w:r>
        <w:rPr>
          <w:color w:val="17212B"/>
          <w:sz w:val="20"/>
          <w:szCs w:val="20"/>
        </w:rPr>
        <w:t xml:space="preserve">PatchForge has recorded a source-bound vulnerability governance case.</w:t>
      </w:r>
    </w:p>
    <w:p>
      <w:pPr>
        <w:pStyle w:val="ListParagraph"/>
        <w:numPr>
          <w:ilvl w:val="0"/>
          <w:numId w:val="1"/>
        </w:numPr>
        <w:spacing w:after="80"/>
      </w:pPr>
      <w:r>
        <w:rPr>
          <w:color w:val="17212B"/>
          <w:sz w:val="20"/>
          <w:szCs w:val="20"/>
        </w:rPr>
        <w:t xml:space="preserve">Known-exploited and EPSS-style signals are prioritisation inputs, not proof of tenant exposure.</w:t>
      </w:r>
    </w:p>
    <w:p>
      <w:pPr>
        <w:pStyle w:val="ListParagraph"/>
        <w:numPr>
          <w:ilvl w:val="0"/>
          <w:numId w:val="1"/>
        </w:numPr>
        <w:spacing w:after="80"/>
      </w:pPr>
      <w:r>
        <w:rPr>
          <w:color w:val="17212B"/>
          <w:sz w:val="20"/>
          <w:szCs w:val="20"/>
        </w:rPr>
        <w:t xml:space="preserve">Human review, customer scope confirmation, and patch applicability evidence are required before assurance is issued.</w:t>
      </w:r>
    </w:p>
    <w:p>
      <w:pPr>
        <w:pStyle w:val="Heading2"/>
      </w:pPr>
      <w:r>
        <w:t xml:space="preserve">What Cannot Yet Be Claimed</w:t>
      </w:r>
    </w:p>
    <w:p>
      <w:pPr>
        <w:pStyle w:val="ListParagraph"/>
        <w:numPr>
          <w:ilvl w:val="0"/>
          <w:numId w:val="1"/>
        </w:numPr>
        <w:spacing w:after="80"/>
      </w:pPr>
      <w:r>
        <w:rPr>
          <w:color w:val="17212B"/>
          <w:sz w:val="20"/>
          <w:szCs w:val="20"/>
        </w:rPr>
        <w:t xml:space="preserve">Do not claim customer exposure is confirmed unless reviewed asset and service evidence is attached.</w:t>
      </w:r>
    </w:p>
    <w:p>
      <w:pPr>
        <w:pStyle w:val="ListParagraph"/>
        <w:numPr>
          <w:ilvl w:val="0"/>
          <w:numId w:val="1"/>
        </w:numPr>
        <w:spacing w:after="80"/>
      </w:pPr>
      <w:r>
        <w:rPr>
          <w:color w:val="17212B"/>
          <w:sz w:val="20"/>
          <w:szCs w:val="20"/>
        </w:rPr>
        <w:t xml:space="preserve">Do not claim patch applicability, successful remediation, closure, certification, or risk acceptance unless the signed pack and current-state events record those facts.</w:t>
      </w:r>
    </w:p>
    <w:p>
      <w:pPr>
        <w:pStyle w:val="ListParagraph"/>
        <w:numPr>
          <w:ilvl w:val="0"/>
          <w:numId w:val="1"/>
        </w:numPr>
        <w:spacing w:after="80"/>
      </w:pPr>
      <w:r>
        <w:rPr>
          <w:color w:val="17212B"/>
          <w:sz w:val="20"/>
          <w:szCs w:val="20"/>
        </w:rPr>
        <w:t xml:space="preserve">Do not imply PatchForge deployed a patch or approved the decision autonomously.</w:t>
      </w:r>
    </w:p>
    <w:p>
      <w:pPr>
        <w:pStyle w:val="Heading1"/>
      </w:pPr>
      <w:r>
        <w:t xml:space="preserve">What This Vulnerability Means</w:t>
      </w:r>
    </w:p>
    <w:p>
      <w:pPr>
        <w:spacing w:after="120"/>
      </w:pPr>
      <w:r>
        <w:t xml:space="preserve">LiteSpeed cPanel Plugin contains privilege escalation vulnerability that is exposed via the user-end cPanel plugin, which can be abused by any cPanel user account to execute arbitrary scripts with root privileges. PatchForge treats this as a governance decision until source evidence, affected scope, and human approval are complete.</w:t>
      </w:r>
    </w:p>
    <w:p>
      <w:pPr>
        <w:pStyle w:val="Heading2"/>
      </w:pPr>
      <w:r>
        <w:t xml:space="preserve">Why It Matters Now</w:t>
      </w:r>
    </w:p>
    <w:p>
      <w:pPr>
        <w:spacing w:after="120"/>
      </w:pPr>
      <w:r>
        <w:t xml:space="preserve">It is flagged as known exploited in source-bound intelligence. FIRST EPSS source-bound signal is 0% with percentile 3%. The recorded remediation due date is 2026-05-29.</w:t>
      </w:r>
    </w:p>
    <w:p>
      <w:pPr>
        <w:pStyle w:val="Heading1"/>
      </w:pPr>
      <w:r>
        <w:t xml:space="preserve">Affected Products, Services, and Assets</w:t>
      </w:r>
    </w:p>
    <w:p>
      <w:pPr>
        <w:spacing w:after="120"/>
      </w:pPr>
      <w:r>
        <w:t xml:space="preserve">PatchForge has public-source vulnerability intelligence, but customer asset and service exposure are not yet confirmed. This gap matters because severity alone does not tell the CAB what could break, who owns it, or whether customer-facing operations are affected.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5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Scope</w:t>
            </w:r>
          </w:p>
        </w:tc>
        <w:tc>
          <w:tcPr>
            <w:tcW w:type="dxa" w:w="30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Record</w:t>
            </w:r>
          </w:p>
        </w:tc>
        <w:tc>
          <w:tcPr>
            <w:tcW w:type="dxa" w:w="48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Operational meaning</w:t>
            </w:r>
          </w:p>
        </w:tc>
      </w:tr>
      <w:tr>
        <w:trPr>
          <w:tblHeader w:val="false"/>
        </w:trPr>
        <w:tc>
          <w:tcPr>
            <w:tcW w:type="dxa" w:w="15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Unmapped</w:t>
            </w:r>
          </w:p>
        </w:tc>
        <w:tc>
          <w:tcPr>
            <w:tcW w:type="dxa" w:w="30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No reviewed asset/service scope</w:t>
            </w:r>
          </w:p>
        </w:tc>
        <w:tc>
          <w:tcPr>
            <w:tcW w:type="dxa" w:w="48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This is a decision blocker because the organisation cannot safely judge impact or completion.</w:t>
            </w:r>
          </w:p>
        </w:tc>
      </w:tr>
    </w:tbl>
    <w:p>
      <w:pPr>
        <w:pStyle w:val="Heading1"/>
      </w:pPr>
      <w:r>
        <w:t xml:space="preserve">Exploitability Intelligence</w:t>
      </w:r>
    </w:p>
    <w:p>
      <w:pPr>
        <w:pBdr>
          <w:left w:val="single" w:color="B7791F" w:sz="16"/>
        </w:pBdr>
        <w:shd w:fill="FFF6E4" w:val="clear"/>
        <w:spacing w:after="180" w:before="80"/>
        <w:ind w:left="160"/>
      </w:pPr>
      <w:r>
        <w:rPr>
          <w:b/>
          <w:bCs/>
          <w:color w:val="17212B"/>
        </w:rPr>
        <w:t xml:space="preserve">Exploit code, exploit payloads, and procedural exploitation steps are intentionally not provided.</w:t>
      </w:r>
    </w:p>
    <w:p>
      <w:pPr>
        <w:spacing w:after="120"/>
      </w:pPr>
      <w:r>
        <w:t xml:space="preserve">Source-bound intelligence indicates this vulnerability is known to be exploited in the wild. EPSS gives a source-bound probability signal of 0% and percentile 3%. This informs prioritisation but does not prove exploitability in the tenant estate. 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 The safe governance question is whether exposure, service impact, patch feasibility, and compensating controls justify patch, mitigation, deferral, or risk acceptance.</w:t>
      </w:r>
    </w:p>
    <w:p>
      <w:pPr>
        <w:spacing w:after="120"/>
      </w:pPr>
      <w:r>
        <w:t xml:space="preserve">CISA KEV indicates the vulnerability appears in a known exploited vulnerability source feed. EPSS provides a probability-style signal and may be lower. PatchForge treats these as prioritisation signals, not proof of tenant exposure. Customer exposure must be confirmed through asset and service evidence. Known exploited signal is present, but EPSS is low. This does not remove the need for scope confirmation.</w:t>
      </w:r>
    </w:p>
    <w:p>
      <w:pPr>
        <w:spacing w:after="70"/>
        <w:ind w:left="180"/>
      </w:pPr>
      <w:r>
        <w:rPr>
          <w:b/>
          <w:bCs/>
          <w:color w:val="1D3C5A"/>
          <w:sz w:val="20"/>
          <w:szCs w:val="20"/>
        </w:rPr>
        <w:t xml:space="preserve">Known exploited signal: </w:t>
      </w:r>
      <w:r>
        <w:rPr>
          <w:color w:val="17212B"/>
          <w:sz w:val="20"/>
          <w:szCs w:val="20"/>
        </w:rPr>
        <w:t xml:space="preserve">Yes, source-bound pending review unless accepted</w:t>
      </w:r>
    </w:p>
    <w:p>
      <w:pPr>
        <w:spacing w:after="70"/>
        <w:ind w:left="180"/>
      </w:pPr>
      <w:r>
        <w:rPr>
          <w:b/>
          <w:bCs/>
          <w:color w:val="1D3C5A"/>
          <w:sz w:val="20"/>
          <w:szCs w:val="20"/>
        </w:rPr>
        <w:t xml:space="preserve">EPSS score: </w:t>
      </w:r>
      <w:r>
        <w:rPr>
          <w:color w:val="17212B"/>
          <w:sz w:val="20"/>
          <w:szCs w:val="20"/>
        </w:rPr>
        <w:t xml:space="preserve">0%</w:t>
      </w:r>
    </w:p>
    <w:p>
      <w:pPr>
        <w:spacing w:after="70"/>
        <w:ind w:left="180"/>
      </w:pPr>
      <w:r>
        <w:rPr>
          <w:b/>
          <w:bCs/>
          <w:color w:val="1D3C5A"/>
          <w:sz w:val="20"/>
          <w:szCs w:val="20"/>
        </w:rPr>
        <w:t xml:space="preserve">EPSS percentile: </w:t>
      </w:r>
      <w:r>
        <w:rPr>
          <w:color w:val="17212B"/>
          <w:sz w:val="20"/>
          <w:szCs w:val="20"/>
        </w:rPr>
        <w:t xml:space="preserve">3%</w:t>
      </w:r>
    </w:p>
    <w:p>
      <w:pPr>
        <w:spacing w:after="70"/>
        <w:ind w:left="180"/>
      </w:pPr>
      <w:r>
        <w:rPr>
          <w:b/>
          <w:bCs/>
          <w:color w:val="1D3C5A"/>
          <w:sz w:val="20"/>
          <w:szCs w:val="20"/>
        </w:rPr>
        <w:t xml:space="preserve">Ransomware campaign use: </w:t>
      </w:r>
      <w:r>
        <w:rPr>
          <w:color w:val="17212B"/>
          <w:sz w:val="20"/>
          <w:szCs w:val="20"/>
        </w:rPr>
        <w:t xml:space="preserve">Unknown</w:t>
      </w:r>
    </w:p>
    <w:p>
      <w:pPr>
        <w:spacing w:after="70"/>
        <w:ind w:left="180"/>
      </w:pPr>
      <w:r>
        <w:rPr>
          <w:b/>
          <w:bCs/>
          <w:color w:val="1D3C5A"/>
          <w:sz w:val="20"/>
          <w:szCs w:val="20"/>
        </w:rPr>
        <w:t xml:space="preserve">Can close gates alone: </w:t>
      </w:r>
      <w:r>
        <w:rPr>
          <w:color w:val="17212B"/>
          <w:sz w:val="20"/>
          <w:szCs w:val="20"/>
        </w:rPr>
        <w:t xml:space="preserve">No</w:t>
      </w:r>
    </w:p>
    <w:p>
      <w:pPr>
        <w:pStyle w:val="Heading1"/>
      </w:pPr>
      <w:r>
        <w:t xml:space="preserve">Recommended Governance Posture</w:t>
      </w:r>
    </w:p>
    <w:p>
      <w:pPr>
        <w:spacing w:after="120"/>
      </w:pPr>
      <w:r>
        <w:t xml:space="preserve">Defer Pending Evidence is the current advisory posture. A known-exploited public-source signal is present, but reviewed customer asset and service exposure are not confirmed. This remains a governed decision: PatchForge can prepare the evidence and report, but a human approver must issue the decision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gridCol w:w="100"/>
      </w:tblGrid>
      <w:tr>
        <w:trPr>
          <w:tblHeader/>
        </w:trPr>
        <w:tc>
          <w:tcPr>
            <w:tcW w:type="dxa" w:w="13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Timing</w:t>
            </w:r>
          </w:p>
        </w:tc>
        <w:tc>
          <w:tcPr>
            <w:tcW w:type="dxa" w:w="53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Action</w:t>
            </w:r>
          </w:p>
        </w:tc>
        <w:tc>
          <w:tcPr>
            <w:tcW w:type="dxa" w:w="270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Owner / gate</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Now</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customer exposure and patch applicability before selecting emergency change, patch, mitigation, or risk acceptance.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Security lead / CAB reviewer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Confirm vendor patch availability or record mitigation-only posture.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affected asset scope evidence.</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Next</w:t>
            </w:r>
          </w:p>
        </w:tc>
        <w:tc>
          <w:tcPr>
            <w:tcW w:type="dxa" w:w="53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Attach business service impact evidence.</w:t>
            </w:r>
          </w:p>
        </w:tc>
        <w:tc>
          <w:tcPr>
            <w:tcW w:type="dxa" w:w="270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Service owner / evidence owner</w:t>
            </w:r>
          </w:p>
        </w:tc>
      </w:tr>
      <w:tr>
        <w:trPr>
          <w:tblHeader w:val="false"/>
        </w:trPr>
        <w:tc>
          <w:tcPr>
            <w:tcW w:type="dxa" w:w="13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Deadline</w:t>
            </w:r>
          </w:p>
        </w:tc>
        <w:tc>
          <w:tcPr>
            <w:tcW w:type="dxa" w:w="53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Recorded due date: 2026-05-29</w:t>
            </w:r>
          </w:p>
        </w:tc>
        <w:tc>
          <w:tcPr>
            <w:tcW w:type="dxa" w:w="270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Accountable owner</w:t>
            </w:r>
          </w:p>
        </w:tc>
      </w:tr>
    </w:tbl>
    <w:p>
      <w:pPr>
        <w:pStyle w:val="Heading1"/>
      </w:pPr>
      <w:r>
        <w:t xml:space="preserve">Decision Options Matrix</w:t>
      </w:r>
    </w:p>
    <w:p>
      <w:pPr>
        <w:spacing w:after="60" w:before="120"/>
      </w:pPr>
      <w:r>
        <w:rPr>
          <w:b/>
          <w:bCs/>
          <w:color w:val="1D3C5A"/>
          <w:sz w:val="22"/>
          <w:szCs w:val="22"/>
        </w:rPr>
        <w:t xml:space="preserve">Recommended: Urgent Scope Confirmation Required</w:t>
      </w:r>
    </w:p>
    <w:p>
      <w:pPr>
        <w:spacing w:after="70"/>
        <w:ind w:left="220"/>
      </w:pPr>
      <w:r>
        <w:rPr>
          <w:b/>
          <w:bCs/>
          <w:color w:val="1D3C5A"/>
          <w:sz w:val="20"/>
          <w:szCs w:val="20"/>
        </w:rPr>
        <w:t xml:space="preserve">Current status: </w:t>
      </w:r>
      <w:r>
        <w:rPr>
          <w:color w:val="17212B"/>
          <w:sz w:val="20"/>
          <w:szCs w:val="20"/>
        </w:rPr>
        <w:t xml:space="preserve">Recommended Now</w:t>
      </w:r>
    </w:p>
    <w:p>
      <w:pPr>
        <w:spacing w:after="70"/>
        <w:ind w:left="220"/>
      </w:pPr>
      <w:r>
        <w:rPr>
          <w:b/>
          <w:bCs/>
          <w:color w:val="1D3C5A"/>
          <w:sz w:val="20"/>
          <w:szCs w:val="20"/>
        </w:rPr>
        <w:t xml:space="preserve">Reason: </w:t>
      </w:r>
      <w:r>
        <w:rPr>
          <w:color w:val="17212B"/>
          <w:sz w:val="20"/>
          <w:szCs w:val="20"/>
        </w:rPr>
        <w:t xml:space="preserve">Known-exploited public intelligence exists, but customer asset and service exposure are not confirmed.</w:t>
      </w:r>
    </w:p>
    <w:p>
      <w:pPr>
        <w:spacing w:after="70"/>
        <w:ind w:left="220"/>
      </w:pPr>
      <w:r>
        <w:rPr>
          <w:b/>
          <w:bCs/>
          <w:color w:val="1D3C5A"/>
          <w:sz w:val="20"/>
          <w:szCs w:val="20"/>
        </w:rPr>
        <w:t xml:space="preserve">Required evidence: </w:t>
      </w:r>
      <w:r>
        <w:rPr>
          <w:color w:val="17212B"/>
          <w:sz w:val="20"/>
          <w:szCs w:val="20"/>
        </w:rPr>
        <w:t xml:space="preserve">Reviewed asset scope, Reviewed service impact, Source identity review</w:t>
      </w:r>
    </w:p>
    <w:p>
      <w:pPr>
        <w:spacing w:after="70"/>
        <w:ind w:left="220"/>
      </w:pPr>
      <w:r>
        <w:rPr>
          <w:b/>
          <w:bCs/>
          <w:color w:val="1D3C5A"/>
          <w:sz w:val="20"/>
          <w:szCs w:val="20"/>
        </w:rPr>
        <w:t xml:space="preserve">Required approval: </w:t>
      </w:r>
      <w:r>
        <w:rPr>
          <w:color w:val="17212B"/>
          <w:sz w:val="20"/>
          <w:szCs w:val="20"/>
        </w:rPr>
        <w:t xml:space="preserve">Security lead or service owner confirms the affected scope.</w:t>
      </w:r>
    </w:p>
    <w:p>
      <w:pPr>
        <w:spacing w:after="60" w:before="120"/>
      </w:pPr>
      <w:r>
        <w:rPr>
          <w:b/>
          <w:bCs/>
          <w:color w:val="1D3C5A"/>
          <w:sz w:val="22"/>
          <w:szCs w:val="22"/>
        </w:rPr>
        <w:t xml:space="preserve">Emergency Change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Emergency Change Required is blocked pending asset/service exposure and patch applicability.</w:t>
      </w:r>
    </w:p>
    <w:p>
      <w:pPr>
        <w:spacing w:after="70"/>
        <w:ind w:left="220"/>
      </w:pPr>
      <w:r>
        <w:rPr>
          <w:b/>
          <w:bCs/>
          <w:color w:val="1D3C5A"/>
          <w:sz w:val="20"/>
          <w:szCs w:val="20"/>
        </w:rPr>
        <w:t xml:space="preserve">Required evidence: </w:t>
      </w:r>
      <w:r>
        <w:rPr>
          <w:color w:val="17212B"/>
          <w:sz w:val="20"/>
          <w:szCs w:val="20"/>
        </w:rPr>
        <w:t xml:space="preserve">Reviewed affected scope, Patch applicability, Rollback plan, Customer/service impact, Human approval</w:t>
      </w:r>
    </w:p>
    <w:p>
      <w:pPr>
        <w:spacing w:after="70"/>
        <w:ind w:left="220"/>
      </w:pPr>
      <w:r>
        <w:rPr>
          <w:b/>
          <w:bCs/>
          <w:color w:val="1D3C5A"/>
          <w:sz w:val="20"/>
          <w:szCs w:val="20"/>
        </w:rPr>
        <w:t xml:space="preserve">Required approval: </w:t>
      </w:r>
      <w:r>
        <w:rPr>
          <w:color w:val="17212B"/>
          <w:sz w:val="20"/>
          <w:szCs w:val="20"/>
        </w:rPr>
        <w:t xml:space="preserve">CAB/security lead emergency approval.</w:t>
      </w:r>
    </w:p>
    <w:p>
      <w:pPr>
        <w:spacing w:after="60" w:before="120"/>
      </w:pPr>
      <w:r>
        <w:rPr>
          <w:b/>
          <w:bCs/>
          <w:color w:val="1D3C5A"/>
          <w:sz w:val="22"/>
          <w:szCs w:val="22"/>
        </w:rPr>
        <w:t xml:space="preserve">Patch Required</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Patch Required is blocked pending patch availability, feasibility, and reviewed exposure scope.</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 Service owner review</w:t>
      </w:r>
    </w:p>
    <w:p>
      <w:pPr>
        <w:spacing w:after="70"/>
        <w:ind w:left="220"/>
      </w:pPr>
      <w:r>
        <w:rPr>
          <w:b/>
          <w:bCs/>
          <w:color w:val="1D3C5A"/>
          <w:sz w:val="20"/>
          <w:szCs w:val="20"/>
        </w:rPr>
        <w:t xml:space="preserve">Required approval: </w:t>
      </w:r>
      <w:r>
        <w:rPr>
          <w:color w:val="17212B"/>
          <w:sz w:val="20"/>
          <w:szCs w:val="20"/>
        </w:rPr>
        <w:t xml:space="preserve">Change owner, service owner, and CAB/security approval.</w:t>
      </w:r>
    </w:p>
    <w:p>
      <w:pPr>
        <w:spacing w:after="60" w:before="120"/>
      </w:pPr>
      <w:r>
        <w:rPr>
          <w:b/>
          <w:bCs/>
          <w:color w:val="1D3C5A"/>
          <w:sz w:val="22"/>
          <w:szCs w:val="22"/>
        </w:rPr>
        <w:t xml:space="preserve">Mitigate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Mitigate Temporarily is available only if compensating-control evidence is attached and reviewed.</w:t>
      </w:r>
    </w:p>
    <w:p>
      <w:pPr>
        <w:spacing w:after="70"/>
        <w:ind w:left="220"/>
      </w:pPr>
      <w:r>
        <w:rPr>
          <w:b/>
          <w:bCs/>
          <w:color w:val="1D3C5A"/>
          <w:sz w:val="20"/>
          <w:szCs w:val="20"/>
        </w:rPr>
        <w:t xml:space="preserve">Required evidence: </w:t>
      </w:r>
      <w:r>
        <w:rPr>
          <w:color w:val="17212B"/>
          <w:sz w:val="20"/>
          <w:szCs w:val="20"/>
        </w:rPr>
        <w:t xml:space="preserve">Compensating control plan, Control owner, Monitoring evidence, Expiry or reassessment date</w:t>
      </w:r>
    </w:p>
    <w:p>
      <w:pPr>
        <w:spacing w:after="70"/>
        <w:ind w:left="220"/>
      </w:pPr>
      <w:r>
        <w:rPr>
          <w:b/>
          <w:bCs/>
          <w:color w:val="1D3C5A"/>
          <w:sz w:val="20"/>
          <w:szCs w:val="20"/>
        </w:rPr>
        <w:t xml:space="preserve">Required approval: </w:t>
      </w:r>
      <w:r>
        <w:rPr>
          <w:color w:val="17212B"/>
          <w:sz w:val="20"/>
          <w:szCs w:val="20"/>
        </w:rPr>
        <w:t xml:space="preserve">Security lead and service owner approve temporary mitigation.</w:t>
      </w:r>
    </w:p>
    <w:p>
      <w:pPr>
        <w:spacing w:after="60" w:before="120"/>
      </w:pPr>
      <w:r>
        <w:rPr>
          <w:b/>
          <w:bCs/>
          <w:color w:val="1D3C5A"/>
          <w:sz w:val="22"/>
          <w:szCs w:val="22"/>
        </w:rPr>
        <w:t xml:space="preserve">Risk Accept Temporarily</w:t>
      </w:r>
    </w:p>
    <w:p>
      <w:pPr>
        <w:spacing w:after="70"/>
        <w:ind w:left="220"/>
      </w:pPr>
      <w:r>
        <w:rPr>
          <w:b/>
          <w:bCs/>
          <w:color w:val="1D3C5A"/>
          <w:sz w:val="20"/>
          <w:szCs w:val="20"/>
        </w:rPr>
        <w:t xml:space="preserve">Current status: </w:t>
      </w:r>
      <w:r>
        <w:rPr>
          <w:color w:val="17212B"/>
          <w:sz w:val="20"/>
          <w:szCs w:val="20"/>
        </w:rPr>
        <w:t xml:space="preserve">Blocked</w:t>
      </w:r>
    </w:p>
    <w:p>
      <w:pPr>
        <w:spacing w:after="70"/>
        <w:ind w:left="220"/>
      </w:pPr>
      <w:r>
        <w:rPr>
          <w:b/>
          <w:bCs/>
          <w:color w:val="1D3C5A"/>
          <w:sz w:val="20"/>
          <w:szCs w:val="20"/>
        </w:rPr>
        <w:t xml:space="preserve">Reason: </w:t>
      </w:r>
      <w:r>
        <w:rPr>
          <w:color w:val="17212B"/>
          <w:sz w:val="20"/>
          <w:szCs w:val="20"/>
        </w:rPr>
        <w:t xml:space="preserve">Risk Accept Temporarily is blocked until risk owner, rationale, expiry, compensating controls, and accountable approval exist.</w:t>
      </w:r>
    </w:p>
    <w:p>
      <w:pPr>
        <w:spacing w:after="70"/>
        <w:ind w:left="220"/>
      </w:pPr>
      <w:r>
        <w:rPr>
          <w:b/>
          <w:bCs/>
          <w:color w:val="1D3C5A"/>
          <w:sz w:val="20"/>
          <w:szCs w:val="20"/>
        </w:rPr>
        <w:t xml:space="preserve">Required evidence: </w:t>
      </w:r>
      <w:r>
        <w:rPr>
          <w:color w:val="17212B"/>
          <w:sz w:val="20"/>
          <w:szCs w:val="20"/>
        </w:rPr>
        <w:t xml:space="preserve">Risk owner, Rationale, Expiry, Compensating controls, Residual risk statement</w:t>
      </w:r>
    </w:p>
    <w:p>
      <w:pPr>
        <w:spacing w:after="70"/>
        <w:ind w:left="220"/>
      </w:pPr>
      <w:r>
        <w:rPr>
          <w:b/>
          <w:bCs/>
          <w:color w:val="1D3C5A"/>
          <w:sz w:val="20"/>
          <w:szCs w:val="20"/>
        </w:rPr>
        <w:t xml:space="preserve">Required approval: </w:t>
      </w:r>
      <w:r>
        <w:rPr>
          <w:color w:val="17212B"/>
          <w:sz w:val="20"/>
          <w:szCs w:val="20"/>
        </w:rPr>
        <w:t xml:space="preserve">Named accountable risk owner approval.</w:t>
      </w:r>
    </w:p>
    <w:p>
      <w:pPr>
        <w:spacing w:after="60" w:before="120"/>
      </w:pPr>
      <w:r>
        <w:rPr>
          <w:b/>
          <w:bCs/>
          <w:color w:val="1D3C5A"/>
          <w:sz w:val="22"/>
          <w:szCs w:val="22"/>
        </w:rPr>
        <w:t xml:space="preserve">Recommended: Defer Pending Evidence</w:t>
      </w:r>
    </w:p>
    <w:p>
      <w:pPr>
        <w:spacing w:after="70"/>
        <w:ind w:left="220"/>
      </w:pPr>
      <w:r>
        <w:rPr>
          <w:b/>
          <w:bCs/>
          <w:color w:val="1D3C5A"/>
          <w:sz w:val="20"/>
          <w:szCs w:val="20"/>
        </w:rPr>
        <w:t xml:space="preserve">Current status: </w:t>
      </w:r>
      <w:r>
        <w:rPr>
          <w:color w:val="17212B"/>
          <w:sz w:val="20"/>
          <w:szCs w:val="20"/>
        </w:rPr>
        <w:t xml:space="preserve">Not Recommended</w:t>
      </w:r>
    </w:p>
    <w:p>
      <w:pPr>
        <w:spacing w:after="70"/>
        <w:ind w:left="220"/>
      </w:pPr>
      <w:r>
        <w:rPr>
          <w:b/>
          <w:bCs/>
          <w:color w:val="1D3C5A"/>
          <w:sz w:val="20"/>
          <w:szCs w:val="20"/>
        </w:rPr>
        <w:t xml:space="preserve">Reason: </w:t>
      </w:r>
      <w:r>
        <w:rPr>
          <w:color w:val="17212B"/>
          <w:sz w:val="20"/>
          <w:szCs w:val="20"/>
        </w:rPr>
        <w:t xml:space="preserve">Plain deferral is too passive for a known-exploited finding; use urgent scope confirmation as the active evidence posture.</w:t>
      </w:r>
    </w:p>
    <w:p>
      <w:pPr>
        <w:spacing w:after="70"/>
        <w:ind w:left="220"/>
      </w:pPr>
      <w:r>
        <w:rPr>
          <w:b/>
          <w:bCs/>
          <w:color w:val="1D3C5A"/>
          <w:sz w:val="20"/>
          <w:szCs w:val="20"/>
        </w:rPr>
        <w:t xml:space="preserve">Required evidence: </w:t>
      </w:r>
      <w:r>
        <w:rPr>
          <w:color w:val="17212B"/>
          <w:sz w:val="20"/>
          <w:szCs w:val="20"/>
        </w:rPr>
        <w:t xml:space="preserve">Reviewed vulnerability identity evidence, Affected asset scope, Business service impact, Patch availability and feasibility, Human source review event</w:t>
      </w:r>
    </w:p>
    <w:p>
      <w:pPr>
        <w:spacing w:after="70"/>
        <w:ind w:left="220"/>
      </w:pPr>
      <w:r>
        <w:rPr>
          <w:b/>
          <w:bCs/>
          <w:color w:val="1D3C5A"/>
          <w:sz w:val="20"/>
          <w:szCs w:val="20"/>
        </w:rPr>
        <w:t xml:space="preserve">Required approval: </w:t>
      </w:r>
      <w:r>
        <w:rPr>
          <w:color w:val="17212B"/>
          <w:sz w:val="20"/>
          <w:szCs w:val="20"/>
        </w:rPr>
        <w:t xml:space="preserve">Evidence owner confirms blocker resolution before approval is requested.</w:t>
      </w:r>
    </w:p>
    <w:p>
      <w:pPr>
        <w:pStyle w:val="Heading1"/>
        <w:pageBreakBefore/>
      </w:pPr>
      <w:r>
        <w:t xml:space="preserve">Evidence Confidence and Gaps</w:t>
      </w:r>
    </w:p>
    <w:p>
      <w:pPr>
        <w:spacing w:after="120"/>
      </w:pPr>
      <w:r>
        <w:t xml:space="preserve">The report separates source-pack evidence from current-state overlays. Source records, scanner findings, SRA/MCP/agent findings, CISA KEV records, EPSS signals, and vendor advisories remain source-bound until reviewed.</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Plain English gap: </w:t>
      </w:r>
      <w:r>
        <w:rPr>
          <w:color w:val="17212B"/>
          <w:sz w:val="20"/>
          <w:szCs w:val="20"/>
        </w:rPr>
        <w:t xml:space="preserve">The finding identity has not yet been accepted by a named reviewer.</w:t>
      </w:r>
    </w:p>
    <w:p>
      <w:pPr>
        <w:spacing w:after="70"/>
        <w:ind w:left="220"/>
      </w:pPr>
      <w:r>
        <w:rPr>
          <w:b/>
          <w:bCs/>
          <w:color w:val="1D3C5A"/>
          <w:sz w:val="20"/>
          <w:szCs w:val="20"/>
        </w:rPr>
        <w:t xml:space="preserve">Why it matters: </w:t>
      </w:r>
      <w:r>
        <w:rPr>
          <w:color w:val="17212B"/>
          <w:sz w:val="20"/>
          <w:szCs w:val="20"/>
        </w:rPr>
        <w:t xml:space="preserve">CAB and customer assurance need confidence that the CVE, affected product, affected versions, and source provenance are correct before remediation decisions are presented as evidence-led.</w:t>
      </w:r>
    </w:p>
    <w:p>
      <w:pPr>
        <w:spacing w:after="70"/>
        <w:ind w:left="220"/>
      </w:pPr>
      <w:r>
        <w:rPr>
          <w:b/>
          <w:bCs/>
          <w:color w:val="1D3C5A"/>
          <w:sz w:val="20"/>
          <w:szCs w:val="20"/>
        </w:rPr>
        <w:t xml:space="preserve">Required evidence: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Evidence examples: </w:t>
      </w:r>
      <w:r>
        <w:rPr>
          <w:color w:val="17212B"/>
          <w:sz w:val="20"/>
          <w:szCs w:val="20"/>
        </w:rPr>
        <w:t xml:space="preserve">CISA KEV record, NVD/CVE record, vendor advisory, source review event</w:t>
      </w:r>
    </w:p>
    <w:p>
      <w:pPr>
        <w:spacing w:after="70"/>
        <w:ind w:left="220"/>
      </w:pPr>
      <w:r>
        <w:rPr>
          <w:b/>
          <w:bCs/>
          <w:color w:val="1D3C5A"/>
          <w:sz w:val="20"/>
          <w:szCs w:val="20"/>
        </w:rPr>
        <w:t xml:space="preserve">Suggested owner: </w:t>
      </w:r>
      <w:r>
        <w:rPr>
          <w:color w:val="17212B"/>
          <w:sz w:val="20"/>
          <w:szCs w:val="20"/>
        </w:rPr>
        <w:t xml:space="preserve">Security lead or vulnerability manager</w:t>
      </w:r>
    </w:p>
    <w:p>
      <w:pPr>
        <w:spacing w:after="70"/>
        <w:ind w:left="220"/>
      </w:pPr>
      <w:r>
        <w:rPr>
          <w:b/>
          <w:bCs/>
          <w:color w:val="1D3C5A"/>
          <w:sz w:val="20"/>
          <w:szCs w:val="20"/>
        </w:rPr>
        <w:t xml:space="preserve">Next decision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Plain English gap: </w:t>
      </w:r>
      <w:r>
        <w:rPr>
          <w:color w:val="17212B"/>
          <w:sz w:val="20"/>
          <w:szCs w:val="20"/>
        </w:rPr>
        <w:t xml:space="preserve">Customer asset exposure is not confirmed.</w:t>
      </w:r>
    </w:p>
    <w:p>
      <w:pPr>
        <w:spacing w:after="70"/>
        <w:ind w:left="220"/>
      </w:pPr>
      <w:r>
        <w:rPr>
          <w:b/>
          <w:bCs/>
          <w:color w:val="1D3C5A"/>
          <w:sz w:val="20"/>
          <w:szCs w:val="20"/>
        </w:rPr>
        <w:t xml:space="preserve">Why it matters: </w:t>
      </w:r>
      <w:r>
        <w:rPr>
          <w:color w:val="17212B"/>
          <w:sz w:val="20"/>
          <w:szCs w:val="20"/>
        </w:rPr>
        <w:t xml:space="preserve">Without asset scope, the organisation cannot tell whether the public-source finding affects the customer estate or what operational risk a change would introduce.</w:t>
      </w:r>
    </w:p>
    <w:p>
      <w:pPr>
        <w:spacing w:after="70"/>
        <w:ind w:left="220"/>
      </w:pPr>
      <w:r>
        <w:rPr>
          <w:b/>
          <w:bCs/>
          <w:color w:val="1D3C5A"/>
          <w:sz w:val="20"/>
          <w:szCs w:val="20"/>
        </w:rPr>
        <w:t xml:space="preserve">Required evidence: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Evidence examples: </w:t>
      </w:r>
      <w:r>
        <w:rPr>
          <w:color w:val="17212B"/>
          <w:sz w:val="20"/>
          <w:szCs w:val="20"/>
        </w:rPr>
        <w:t xml:space="preserve">CMDB asset record, hosting control panel inventory, scanner output, asset owner confirmation</w:t>
      </w:r>
    </w:p>
    <w:p>
      <w:pPr>
        <w:spacing w:after="70"/>
        <w:ind w:left="220"/>
      </w:pPr>
      <w:r>
        <w:rPr>
          <w:b/>
          <w:bCs/>
          <w:color w:val="1D3C5A"/>
          <w:sz w:val="20"/>
          <w:szCs w:val="20"/>
        </w:rPr>
        <w:t xml:space="preserve">Suggested owner: </w:t>
      </w:r>
      <w:r>
        <w:rPr>
          <w:color w:val="17212B"/>
          <w:sz w:val="20"/>
          <w:szCs w:val="20"/>
        </w:rPr>
        <w:t xml:space="preserve">Asset owner or infrastructure lead</w:t>
      </w:r>
    </w:p>
    <w:p>
      <w:pPr>
        <w:spacing w:after="70"/>
        <w:ind w:left="220"/>
      </w:pPr>
      <w:r>
        <w:rPr>
          <w:b/>
          <w:bCs/>
          <w:color w:val="1D3C5A"/>
          <w:sz w:val="20"/>
          <w:szCs w:val="20"/>
        </w:rPr>
        <w:t xml:space="preserve">Next decision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Plain English gap: </w:t>
      </w:r>
      <w:r>
        <w:rPr>
          <w:color w:val="17212B"/>
          <w:sz w:val="20"/>
          <w:szCs w:val="20"/>
        </w:rPr>
        <w:t xml:space="preserve">Business service and customer impact are not confirmed.</w:t>
      </w:r>
    </w:p>
    <w:p>
      <w:pPr>
        <w:spacing w:after="70"/>
        <w:ind w:left="220"/>
      </w:pPr>
      <w:r>
        <w:rPr>
          <w:b/>
          <w:bCs/>
          <w:color w:val="1D3C5A"/>
          <w:sz w:val="20"/>
          <w:szCs w:val="20"/>
        </w:rPr>
        <w:t xml:space="preserve">Why it matters: </w:t>
      </w:r>
      <w:r>
        <w:rPr>
          <w:color w:val="17212B"/>
          <w:sz w:val="20"/>
          <w:szCs w:val="20"/>
        </w:rPr>
        <w:t xml:space="preserve">Severity alone does not tell the CAB which service, customer journey, SLA, or owner is affected.</w:t>
      </w:r>
    </w:p>
    <w:p>
      <w:pPr>
        <w:spacing w:after="70"/>
        <w:ind w:left="220"/>
      </w:pPr>
      <w:r>
        <w:rPr>
          <w:b/>
          <w:bCs/>
          <w:color w:val="1D3C5A"/>
          <w:sz w:val="20"/>
          <w:szCs w:val="20"/>
        </w:rPr>
        <w:t xml:space="preserve">Required evidence: </w:t>
      </w:r>
      <w:r>
        <w:rPr>
          <w:color w:val="17212B"/>
          <w:sz w:val="20"/>
          <w:szCs w:val="20"/>
        </w:rPr>
        <w:t xml:space="preserve">Service map, customer-facing flag, SLA/OLA impact, service owner.</w:t>
      </w:r>
    </w:p>
    <w:p>
      <w:pPr>
        <w:spacing w:after="70"/>
        <w:ind w:left="220"/>
      </w:pPr>
      <w:r>
        <w:rPr>
          <w:b/>
          <w:bCs/>
          <w:color w:val="1D3C5A"/>
          <w:sz w:val="20"/>
          <w:szCs w:val="20"/>
        </w:rPr>
        <w:t xml:space="preserve">Evidence examples: </w:t>
      </w:r>
      <w:r>
        <w:rPr>
          <w:color w:val="17212B"/>
          <w:sz w:val="20"/>
          <w:szCs w:val="20"/>
        </w:rPr>
        <w:t xml:space="preserve">service catalogue map, customer-facing flag, SLA/OLA record, service owner confirmation</w:t>
      </w:r>
    </w:p>
    <w:p>
      <w:pPr>
        <w:spacing w:after="70"/>
        <w:ind w:left="220"/>
      </w:pPr>
      <w:r>
        <w:rPr>
          <w:b/>
          <w:bCs/>
          <w:color w:val="1D3C5A"/>
          <w:sz w:val="20"/>
          <w:szCs w:val="20"/>
        </w:rPr>
        <w:t xml:space="preserve">Suggested owner: </w:t>
      </w:r>
      <w:r>
        <w:rPr>
          <w:color w:val="17212B"/>
          <w:sz w:val="20"/>
          <w:szCs w:val="20"/>
        </w:rPr>
        <w:t xml:space="preserve">Service owner</w:t>
      </w:r>
    </w:p>
    <w:p>
      <w:pPr>
        <w:spacing w:after="70"/>
        <w:ind w:left="220"/>
      </w:pPr>
      <w:r>
        <w:rPr>
          <w:b/>
          <w:bCs/>
          <w:color w:val="1D3C5A"/>
          <w:sz w:val="20"/>
          <w:szCs w:val="20"/>
        </w:rPr>
        <w:t xml:space="preserve">Next decision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Plain English gap: </w:t>
      </w:r>
      <w:r>
        <w:rPr>
          <w:color w:val="17212B"/>
          <w:sz w:val="20"/>
          <w:szCs w:val="20"/>
        </w:rPr>
        <w:t xml:space="preserve">Patch availability and feasibility are not yet reviewed.</w:t>
      </w:r>
    </w:p>
    <w:p>
      <w:pPr>
        <w:spacing w:after="70"/>
        <w:ind w:left="220"/>
      </w:pPr>
      <w:r>
        <w:rPr>
          <w:b/>
          <w:bCs/>
          <w:color w:val="1D3C5A"/>
          <w:sz w:val="20"/>
          <w:szCs w:val="20"/>
        </w:rPr>
        <w:t xml:space="preserve">Why it matters: </w:t>
      </w:r>
      <w:r>
        <w:rPr>
          <w:color w:val="17212B"/>
          <w:sz w:val="20"/>
          <w:szCs w:val="20"/>
        </w:rPr>
        <w:t xml:space="preserve">The decision cannot responsibly select patch, mitigation, deferral, or customer assurance until affected versions, testing, rollback, and applicability are understood.</w:t>
      </w:r>
    </w:p>
    <w:p>
      <w:pPr>
        <w:spacing w:after="70"/>
        <w:ind w:left="220"/>
      </w:pPr>
      <w:r>
        <w:rPr>
          <w:b/>
          <w:bCs/>
          <w:color w:val="1D3C5A"/>
          <w:sz w:val="20"/>
          <w:szCs w:val="20"/>
        </w:rPr>
        <w:t xml:space="preserve">Required evidence: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Evidence examples: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Suggested owner: </w:t>
      </w:r>
      <w:r>
        <w:rPr>
          <w:color w:val="17212B"/>
          <w:sz w:val="20"/>
          <w:szCs w:val="20"/>
        </w:rPr>
        <w:t xml:space="preserve">Change owner or platform engineer</w:t>
      </w:r>
    </w:p>
    <w:p>
      <w:pPr>
        <w:spacing w:after="70"/>
        <w:ind w:left="220"/>
      </w:pPr>
      <w:r>
        <w:rPr>
          <w:b/>
          <w:bCs/>
          <w:color w:val="1D3C5A"/>
          <w:sz w:val="20"/>
          <w:szCs w:val="20"/>
        </w:rPr>
        <w:t xml:space="preserve">Next decision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Plain English gap: </w:t>
      </w:r>
      <w:r>
        <w:rPr>
          <w:color w:val="17212B"/>
          <w:sz w:val="20"/>
          <w:szCs w:val="20"/>
        </w:rPr>
        <w:t xml:space="preserve">No named human source review event is recorded.</w:t>
      </w:r>
    </w:p>
    <w:p>
      <w:pPr>
        <w:spacing w:after="70"/>
        <w:ind w:left="220"/>
      </w:pPr>
      <w:r>
        <w:rPr>
          <w:b/>
          <w:bCs/>
          <w:color w:val="1D3C5A"/>
          <w:sz w:val="20"/>
          <w:szCs w:val="20"/>
        </w:rPr>
        <w:t xml:space="preserve">Why it matters: </w:t>
      </w:r>
      <w:r>
        <w:rPr>
          <w:color w:val="17212B"/>
          <w:sz w:val="20"/>
          <w:szCs w:val="20"/>
        </w:rPr>
        <w:t xml:space="preserve">Source-bound intelligence cannot become accepted positive evidence without a reviewer accepting or rejecting the source record.</w:t>
      </w:r>
    </w:p>
    <w:p>
      <w:pPr>
        <w:spacing w:after="70"/>
        <w:ind w:left="220"/>
      </w:pPr>
      <w:r>
        <w:rPr>
          <w:b/>
          <w:bCs/>
          <w:color w:val="1D3C5A"/>
          <w:sz w:val="20"/>
          <w:szCs w:val="20"/>
        </w:rPr>
        <w:t xml:space="preserve">Required evidence: </w:t>
      </w:r>
      <w:r>
        <w:rPr>
          <w:color w:val="17212B"/>
          <w:sz w:val="20"/>
          <w:szCs w:val="20"/>
        </w:rPr>
        <w:t xml:space="preserve">Named reviewer decision accepting or rejecting source records.</w:t>
      </w:r>
    </w:p>
    <w:p>
      <w:pPr>
        <w:spacing w:after="70"/>
        <w:ind w:left="220"/>
      </w:pPr>
      <w:r>
        <w:rPr>
          <w:b/>
          <w:bCs/>
          <w:color w:val="1D3C5A"/>
          <w:sz w:val="20"/>
          <w:szCs w:val="20"/>
        </w:rPr>
        <w:t xml:space="preserve">Evidence examples: </w:t>
      </w:r>
      <w:r>
        <w:rPr>
          <w:color w:val="17212B"/>
          <w:sz w:val="20"/>
          <w:szCs w:val="20"/>
        </w:rPr>
        <w:t xml:space="preserve">source review event, reviewer name or role, accepted/rejected/superseded outcome, review notes</w:t>
      </w:r>
    </w:p>
    <w:p>
      <w:pPr>
        <w:spacing w:after="70"/>
        <w:ind w:left="220"/>
      </w:pPr>
      <w:r>
        <w:rPr>
          <w:b/>
          <w:bCs/>
          <w:color w:val="1D3C5A"/>
          <w:sz w:val="20"/>
          <w:szCs w:val="20"/>
        </w:rPr>
        <w:t xml:space="preserve">Suggested owner: </w:t>
      </w:r>
      <w:r>
        <w:rPr>
          <w:color w:val="17212B"/>
          <w:sz w:val="20"/>
          <w:szCs w:val="20"/>
        </w:rPr>
        <w:t xml:space="preserve">Security lead or CAB reviewer</w:t>
      </w:r>
    </w:p>
    <w:p>
      <w:pPr>
        <w:spacing w:after="70"/>
        <w:ind w:left="220"/>
      </w:pPr>
      <w:r>
        <w:rPr>
          <w:b/>
          <w:bCs/>
          <w:color w:val="1D3C5A"/>
          <w:sz w:val="20"/>
          <w:szCs w:val="20"/>
        </w:rPr>
        <w:t xml:space="preserve">Next decision gate: </w:t>
      </w:r>
      <w:r>
        <w:rPr>
          <w:color w:val="17212B"/>
          <w:sz w:val="20"/>
          <w:szCs w:val="20"/>
        </w:rPr>
        <w:t xml:space="preserve">Human evidence review</w:t>
      </w:r>
    </w:p>
    <w:p>
      <w:pPr>
        <w:spacing w:after="60" w:before="120"/>
      </w:pPr>
      <w:r>
        <w:rPr>
          <w:b/>
          <w:bCs/>
          <w:color w:val="1D3C5A"/>
          <w:sz w:val="22"/>
          <w:szCs w:val="22"/>
        </w:rPr>
        <w:t xml:space="preserve">Source Review Counts</w:t>
      </w:r>
    </w:p>
    <w:p>
      <w:pPr>
        <w:spacing w:after="70"/>
        <w:ind w:left="220"/>
      </w:pPr>
      <w:r>
        <w:rPr>
          <w:b/>
          <w:bCs/>
          <w:color w:val="1D3C5A"/>
          <w:sz w:val="20"/>
          <w:szCs w:val="20"/>
        </w:rPr>
        <w:t xml:space="preserve">Pending source review: </w:t>
      </w:r>
      <w:r>
        <w:rPr>
          <w:color w:val="17212B"/>
          <w:sz w:val="20"/>
          <w:szCs w:val="20"/>
        </w:rPr>
        <w:t xml:space="preserve">4</w:t>
      </w:r>
    </w:p>
    <w:p>
      <w:pPr>
        <w:spacing w:after="70"/>
        <w:ind w:left="220"/>
      </w:pPr>
      <w:r>
        <w:rPr>
          <w:b/>
          <w:bCs/>
          <w:color w:val="1D3C5A"/>
          <w:sz w:val="20"/>
          <w:szCs w:val="20"/>
        </w:rPr>
        <w:t xml:space="preserve">Accepted positive evidence: </w:t>
      </w:r>
      <w:r>
        <w:rPr>
          <w:color w:val="17212B"/>
          <w:sz w:val="20"/>
          <w:szCs w:val="20"/>
        </w:rPr>
        <w:t xml:space="preserve">0</w:t>
      </w:r>
    </w:p>
    <w:p>
      <w:pPr>
        <w:spacing w:after="70"/>
        <w:ind w:left="220"/>
      </w:pPr>
      <w:r>
        <w:rPr>
          <w:b/>
          <w:bCs/>
          <w:color w:val="1D3C5A"/>
          <w:sz w:val="20"/>
          <w:szCs w:val="20"/>
        </w:rPr>
        <w:t xml:space="preserve">Rejected sources: </w:t>
      </w:r>
      <w:r>
        <w:rPr>
          <w:color w:val="17212B"/>
          <w:sz w:val="20"/>
          <w:szCs w:val="20"/>
        </w:rPr>
        <w:t xml:space="preserve">0</w:t>
      </w:r>
    </w:p>
    <w:p>
      <w:pPr>
        <w:pStyle w:val="Heading1"/>
      </w:pPr>
      <w:r>
        <w:t xml:space="preserve">Decision Snapshot</w:t>
      </w:r>
    </w:p>
    <w:p>
      <w:pPr>
        <w:spacing w:after="70"/>
        <w:ind w:left="180"/>
      </w:pPr>
      <w:r>
        <w:rPr>
          <w:b/>
          <w:bCs/>
          <w:color w:val="1D3C5A"/>
          <w:sz w:val="20"/>
          <w:szCs w:val="20"/>
        </w:rPr>
        <w:t xml:space="preserve">Vulnerability: </w:t>
      </w:r>
      <w:r>
        <w:rPr>
          <w:color w:val="17212B"/>
          <w:sz w:val="20"/>
          <w:szCs w:val="20"/>
        </w:rPr>
        <w:t xml:space="preserve">CVE-2026-48172</w:t>
      </w:r>
    </w:p>
    <w:p>
      <w:pPr>
        <w:spacing w:after="70"/>
        <w:ind w:left="180"/>
      </w:pPr>
      <w:r>
        <w:rPr>
          <w:b/>
          <w:bCs/>
          <w:color w:val="1D3C5A"/>
          <w:sz w:val="20"/>
          <w:szCs w:val="20"/>
        </w:rPr>
        <w:t xml:space="preserve">Title: </w:t>
      </w:r>
      <w:r>
        <w:rPr>
          <w:color w:val="17212B"/>
          <w:sz w:val="20"/>
          <w:szCs w:val="20"/>
        </w:rPr>
        <w:t xml:space="preserve">LiteSpeed cPanel Plugin Privilege Escalation Vulnerability</w:t>
      </w:r>
    </w:p>
    <w:p>
      <w:pPr>
        <w:spacing w:after="70"/>
        <w:ind w:left="180"/>
      </w:pPr>
      <w:r>
        <w:rPr>
          <w:b/>
          <w:bCs/>
          <w:color w:val="1D3C5A"/>
          <w:sz w:val="20"/>
          <w:szCs w:val="20"/>
        </w:rPr>
        <w:t xml:space="preserve">Severity: </w:t>
      </w:r>
      <w:r>
        <w:rPr>
          <w:color w:val="17212B"/>
          <w:sz w:val="20"/>
          <w:szCs w:val="20"/>
        </w:rPr>
        <w:t xml:space="preserve">Critical</w:t>
      </w:r>
    </w:p>
    <w:p>
      <w:pPr>
        <w:spacing w:after="70"/>
        <w:ind w:left="180"/>
      </w:pPr>
      <w:r>
        <w:rPr>
          <w:b/>
          <w:bCs/>
          <w:color w:val="1D3C5A"/>
          <w:sz w:val="20"/>
          <w:szCs w:val="20"/>
        </w:rPr>
        <w:t xml:space="preserve">Decision posture: </w:t>
      </w:r>
      <w:r>
        <w:rPr>
          <w:color w:val="17212B"/>
          <w:sz w:val="20"/>
          <w:szCs w:val="20"/>
        </w:rPr>
        <w:t xml:space="preserve">Defer Pending Evidence</w:t>
      </w:r>
    </w:p>
    <w:p>
      <w:pPr>
        <w:spacing w:after="70"/>
        <w:ind w:left="180"/>
      </w:pPr>
      <w:r>
        <w:rPr>
          <w:b/>
          <w:bCs/>
          <w:color w:val="1D3C5A"/>
          <w:sz w:val="20"/>
          <w:szCs w:val="20"/>
        </w:rPr>
        <w:t xml:space="preserve">Readiness: </w:t>
      </w:r>
      <w:r>
        <w:rPr>
          <w:color w:val="17212B"/>
          <w:sz w:val="20"/>
          <w:szCs w:val="20"/>
        </w:rPr>
        <w:t xml:space="preserve">Blocked (0)</w:t>
      </w:r>
    </w:p>
    <w:p>
      <w:pPr>
        <w:spacing w:after="70"/>
        <w:ind w:left="180"/>
      </w:pPr>
      <w:r>
        <w:rPr>
          <w:b/>
          <w:bCs/>
          <w:color w:val="1D3C5A"/>
          <w:sz w:val="20"/>
          <w:szCs w:val="20"/>
        </w:rPr>
        <w:t xml:space="preserve">Final approval: </w:t>
      </w:r>
      <w:r>
        <w:rPr>
          <w:color w:val="17212B"/>
          <w:sz w:val="20"/>
          <w:szCs w:val="20"/>
        </w:rPr>
        <w:t xml:space="preserve">Not issued</w:t>
      </w:r>
    </w:p>
    <w:p>
      <w:pPr>
        <w:spacing w:after="70"/>
        <w:ind w:left="180"/>
      </w:pPr>
      <w:r>
        <w:rPr>
          <w:b/>
          <w:bCs/>
          <w:color w:val="1D3C5A"/>
          <w:sz w:val="20"/>
          <w:szCs w:val="20"/>
        </w:rPr>
        <w:t xml:space="preserve">Source pack: </w:t>
      </w:r>
      <w:r>
        <w:rPr>
          <w:color w:val="17212B"/>
          <w:sz w:val="20"/>
          <w:szCs w:val="20"/>
        </w:rPr>
        <w:t xml:space="preserve">Immutable and preserved</w:t>
      </w:r>
    </w:p>
    <w:p>
      <w:pPr>
        <w:pStyle w:val="Heading1"/>
      </w:pPr>
      <w:r>
        <w:t xml:space="preserve">Evidence, Trust, and Signing</w:t>
      </w:r>
    </w:p>
    <w:p>
      <w:pPr>
        <w:spacing w:after="70"/>
        <w:ind w:left="180"/>
      </w:pPr>
      <w:r>
        <w:rPr>
          <w:b/>
          <w:bCs/>
          <w:color w:val="1D3C5A"/>
          <w:sz w:val="20"/>
          <w:szCs w:val="20"/>
        </w:rPr>
        <w:t xml:space="preserve">Signed pack: </w:t>
      </w:r>
      <w:r>
        <w:rPr>
          <w:color w:val="17212B"/>
          <w:sz w:val="20"/>
          <w:szCs w:val="20"/>
        </w:rPr>
        <w:t xml:space="preserve">PF-20260527-2d9f160a</w:t>
      </w:r>
    </w:p>
    <w:p>
      <w:pPr>
        <w:spacing w:after="70"/>
        <w:ind w:left="180"/>
      </w:pPr>
      <w:r>
        <w:rPr>
          <w:b/>
          <w:bCs/>
          <w:color w:val="1D3C5A"/>
          <w:sz w:val="20"/>
          <w:szCs w:val="20"/>
        </w:rPr>
        <w:t xml:space="preserve">Verification: </w:t>
      </w:r>
      <w:r>
        <w:rPr>
          <w:color w:val="17212B"/>
          <w:sz w:val="20"/>
          <w:szCs w:val="20"/>
        </w:rPr>
        <w:t xml:space="preserve">Verified</w:t>
      </w:r>
    </w:p>
    <w:p>
      <w:pPr>
        <w:spacing w:after="70"/>
        <w:ind w:left="180"/>
      </w:pPr>
      <w:r>
        <w:rPr>
          <w:b/>
          <w:bCs/>
          <w:color w:val="1D3C5A"/>
          <w:sz w:val="20"/>
          <w:szCs w:val="20"/>
        </w:rPr>
        <w:t xml:space="preserve">Signing provider: </w:t>
      </w:r>
      <w:r>
        <w:rPr>
          <w:color w:val="17212B"/>
          <w:sz w:val="20"/>
          <w:szCs w:val="20"/>
        </w:rPr>
        <w:t xml:space="preserve">Azure Key Vault</w:t>
      </w:r>
    </w:p>
    <w:p>
      <w:pPr>
        <w:spacing w:after="70"/>
        <w:ind w:left="180"/>
      </w:pPr>
      <w:r>
        <w:rPr>
          <w:b/>
          <w:bCs/>
          <w:color w:val="1D3C5A"/>
          <w:sz w:val="20"/>
          <w:szCs w:val="20"/>
        </w:rPr>
        <w:t xml:space="preserve">Signature algorithm: </w:t>
      </w:r>
      <w:r>
        <w:rPr>
          <w:color w:val="17212B"/>
          <w:sz w:val="20"/>
          <w:szCs w:val="20"/>
        </w:rPr>
        <w:t xml:space="preserve">ES256</w:t>
      </w:r>
    </w:p>
    <w:p>
      <w:pPr>
        <w:spacing w:after="70"/>
        <w:ind w:left="180"/>
      </w:pPr>
      <w:r>
        <w:rPr>
          <w:b/>
          <w:bCs/>
          <w:color w:val="1D3C5A"/>
          <w:sz w:val="20"/>
          <w:szCs w:val="20"/>
        </w:rPr>
        <w:t xml:space="preserve">Governance manifest SHA-256: </w:t>
      </w:r>
      <w:r>
        <w:rPr>
          <w:color w:val="17212B"/>
          <w:sz w:val="20"/>
          <w:szCs w:val="20"/>
        </w:rPr>
        <w:t xml:space="preserve">4743bcebeb0c61d0b0f46aede06ee88578068711726c48e921c4f376b70551da</w:t>
      </w:r>
    </w:p>
    <w:p>
      <w:pPr>
        <w:spacing w:after="70"/>
        <w:ind w:left="180"/>
      </w:pPr>
      <w:r>
        <w:rPr>
          <w:b/>
          <w:bCs/>
          <w:color w:val="1D3C5A"/>
          <w:sz w:val="20"/>
          <w:szCs w:val="20"/>
        </w:rPr>
        <w:t xml:space="preserve">Evidence references: </w:t>
      </w:r>
      <w:r>
        <w:rPr>
          <w:color w:val="17212B"/>
          <w:sz w:val="20"/>
          <w:szCs w:val="20"/>
        </w:rPr>
        <w:t xml:space="preserve">2</w:t>
      </w:r>
    </w:p>
    <w:p>
      <w:pPr>
        <w:pStyle w:val="Heading1"/>
      </w:pPr>
      <w:r>
        <w:t xml:space="preserve">Source Intelligence</w:t>
      </w:r>
    </w:p>
    <w:p>
      <w:pPr>
        <w:spacing w:after="60" w:before="120"/>
      </w:pPr>
      <w:r>
        <w:rPr>
          <w:b/>
          <w:bCs/>
          <w:color w:val="1D3C5A"/>
          <w:sz w:val="22"/>
          <w:szCs w:val="22"/>
        </w:rPr>
        <w:t xml:space="preserve">src-cisa-kev-CVE-2026-48172</w:t>
      </w:r>
    </w:p>
    <w:p>
      <w:pPr>
        <w:spacing w:after="70"/>
        <w:ind w:left="220"/>
      </w:pPr>
      <w:r>
        <w:rPr>
          <w:b/>
          <w:bCs/>
          <w:color w:val="1D3C5A"/>
          <w:sz w:val="20"/>
          <w:szCs w:val="20"/>
        </w:rPr>
        <w:t xml:space="preserve">Class: </w:t>
      </w:r>
      <w:r>
        <w:rPr>
          <w:color w:val="17212B"/>
          <w:sz w:val="20"/>
          <w:szCs w:val="20"/>
        </w:rPr>
        <w:t xml:space="preserve">Kev Record</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https://www.cisa.gov/sites/default/files/feeds/known_exploited_vulnerabilities.json</w:t>
      </w:r>
    </w:p>
    <w:p>
      <w:pPr>
        <w:spacing w:after="60" w:before="120"/>
      </w:pPr>
      <w:r>
        <w:rPr>
          <w:b/>
          <w:bCs/>
          <w:color w:val="1D3C5A"/>
          <w:sz w:val="22"/>
          <w:szCs w:val="22"/>
        </w:rPr>
        <w:t xml:space="preserve">src-first-epss-CVE-2026-48172-2026-05-26</w:t>
      </w:r>
    </w:p>
    <w:p>
      <w:pPr>
        <w:spacing w:after="70"/>
        <w:ind w:left="220"/>
      </w:pPr>
      <w:r>
        <w:rPr>
          <w:b/>
          <w:bCs/>
          <w:color w:val="1D3C5A"/>
          <w:sz w:val="20"/>
          <w:szCs w:val="20"/>
        </w:rPr>
        <w:t xml:space="preserve">Class: </w:t>
      </w:r>
      <w:r>
        <w:rPr>
          <w:color w:val="17212B"/>
          <w:sz w:val="20"/>
          <w:szCs w:val="20"/>
        </w:rPr>
        <w:t xml:space="preserve">Epss Signal</w:t>
      </w:r>
    </w:p>
    <w:p>
      <w:pPr>
        <w:spacing w:after="70"/>
        <w:ind w:left="220"/>
      </w:pPr>
      <w:r>
        <w:rPr>
          <w:b/>
          <w:bCs/>
          <w:color w:val="1D3C5A"/>
          <w:sz w:val="20"/>
          <w:szCs w:val="20"/>
        </w:rPr>
        <w:t xml:space="preserve">Review: </w:t>
      </w:r>
      <w:r>
        <w:rPr>
          <w:color w:val="17212B"/>
          <w:sz w:val="20"/>
          <w:szCs w:val="20"/>
        </w:rPr>
        <w:t xml:space="preserve">Pending Review</w:t>
      </w:r>
    </w:p>
    <w:p>
      <w:pPr>
        <w:spacing w:after="70"/>
        <w:ind w:left="220"/>
      </w:pPr>
      <w:r>
        <w:rPr>
          <w:b/>
          <w:bCs/>
          <w:color w:val="1D3C5A"/>
          <w:sz w:val="20"/>
          <w:szCs w:val="20"/>
        </w:rPr>
        <w:t xml:space="preserve">Evidence: </w:t>
      </w:r>
      <w:r>
        <w:rPr>
          <w:color w:val="17212B"/>
          <w:sz w:val="20"/>
          <w:szCs w:val="20"/>
        </w:rPr>
        <w:t xml:space="preserve">Referenced</w:t>
      </w:r>
    </w:p>
    <w:p>
      <w:pPr>
        <w:spacing w:after="70"/>
        <w:ind w:left="220"/>
      </w:pPr>
      <w:r>
        <w:rPr>
          <w:b/>
          <w:bCs/>
          <w:color w:val="1D3C5A"/>
          <w:sz w:val="20"/>
          <w:szCs w:val="20"/>
        </w:rPr>
        <w:t xml:space="preserve">Source URL: </w:t>
      </w:r>
      <w:r>
        <w:rPr>
          <w:color w:val="17212B"/>
          <w:sz w:val="20"/>
          <w:szCs w:val="20"/>
        </w:rPr>
        <w:t xml:space="preserve">https://api.first.org/data/v1/epss?cve=CVE-2026-48172</w:t>
      </w:r>
    </w:p>
    <w:p>
      <w:pPr>
        <w:pStyle w:val="Heading1"/>
      </w:pPr>
      <w:r>
        <w:t xml:space="preserve">Bayesian Advisory</w:t>
      </w:r>
    </w:p>
    <w:p>
      <w:pPr>
        <w:spacing w:after="70"/>
        <w:ind w:left="180"/>
      </w:pPr>
      <w:r>
        <w:rPr>
          <w:b/>
          <w:bCs/>
          <w:color w:val="1D3C5A"/>
          <w:sz w:val="20"/>
          <w:szCs w:val="20"/>
        </w:rPr>
        <w:t xml:space="preserve">Availability: </w:t>
      </w:r>
      <w:r>
        <w:rPr>
          <w:color w:val="17212B"/>
          <w:sz w:val="20"/>
          <w:szCs w:val="20"/>
        </w:rPr>
        <w:t xml:space="preserve">Generated</w:t>
      </w:r>
    </w:p>
    <w:p>
      <w:pPr>
        <w:spacing w:after="70"/>
        <w:ind w:left="180"/>
      </w:pPr>
      <w:r>
        <w:rPr>
          <w:b/>
          <w:bCs/>
          <w:color w:val="1D3C5A"/>
          <w:sz w:val="20"/>
          <w:szCs w:val="20"/>
        </w:rPr>
        <w:t xml:space="preserve">Advisory boundary: </w:t>
      </w:r>
      <w:r>
        <w:rPr>
          <w:color w:val="17212B"/>
          <w:sz w:val="20"/>
          <w:szCs w:val="20"/>
        </w:rPr>
        <w:t xml:space="preserve">Advisory only; cannot close gates or approve risk</w:t>
      </w:r>
    </w:p>
    <w:p>
      <w:pPr>
        <w:spacing w:after="70"/>
        <w:ind w:left="180"/>
      </w:pPr>
      <w:r>
        <w:rPr>
          <w:b/>
          <w:bCs/>
          <w:color w:val="1D3C5A"/>
          <w:sz w:val="20"/>
          <w:szCs w:val="20"/>
        </w:rPr>
        <w:t xml:space="preserve">Recommended posture: </w:t>
      </w:r>
      <w:r>
        <w:rPr>
          <w:color w:val="17212B"/>
          <w:sz w:val="20"/>
          <w:szCs w:val="20"/>
        </w:rPr>
        <w:t xml:space="preserve">Defer Pending Evidence</w:t>
      </w:r>
    </w:p>
    <w:p>
      <w:pPr>
        <w:spacing w:after="70"/>
        <w:ind w:left="180"/>
      </w:pPr>
      <w:r>
        <w:rPr>
          <w:b/>
          <w:bCs/>
          <w:color w:val="1D3C5A"/>
          <w:sz w:val="20"/>
          <w:szCs w:val="20"/>
        </w:rPr>
        <w:t xml:space="preserve">Exploit probability posterior: </w:t>
      </w:r>
      <w:r>
        <w:rPr>
          <w:color w:val="17212B"/>
          <w:sz w:val="20"/>
          <w:szCs w:val="20"/>
        </w:rPr>
        <w:t xml:space="preserve">50%</w:t>
      </w:r>
    </w:p>
    <w:p>
      <w:pPr>
        <w:spacing w:after="70"/>
        <w:ind w:left="180"/>
      </w:pPr>
      <w:r>
        <w:rPr>
          <w:b/>
          <w:bCs/>
          <w:color w:val="1D3C5A"/>
          <w:sz w:val="20"/>
          <w:szCs w:val="20"/>
        </w:rPr>
        <w:t xml:space="preserve">Business impact posterior: </w:t>
      </w:r>
      <w:r>
        <w:rPr>
          <w:color w:val="17212B"/>
          <w:sz w:val="20"/>
          <w:szCs w:val="20"/>
        </w:rPr>
        <w:t xml:space="preserve">35%</w:t>
      </w:r>
    </w:p>
    <w:p>
      <w:pPr>
        <w:spacing w:after="70"/>
        <w:ind w:left="180"/>
      </w:pPr>
      <w:r>
        <w:rPr>
          <w:b/>
          <w:bCs/>
          <w:color w:val="1D3C5A"/>
          <w:sz w:val="20"/>
          <w:szCs w:val="20"/>
        </w:rPr>
        <w:t xml:space="preserve">Patch feasibility posterior: </w:t>
      </w:r>
      <w:r>
        <w:rPr>
          <w:color w:val="17212B"/>
          <w:sz w:val="20"/>
          <w:szCs w:val="20"/>
        </w:rPr>
        <w:t xml:space="preserve">27%</w:t>
      </w:r>
    </w:p>
    <w:p>
      <w:pPr>
        <w:spacing w:after="70"/>
        <w:ind w:left="180"/>
      </w:pPr>
      <w:r>
        <w:rPr>
          <w:b/>
          <w:bCs/>
          <w:color w:val="1D3C5A"/>
          <w:sz w:val="20"/>
          <w:szCs w:val="20"/>
        </w:rPr>
        <w:t xml:space="preserve">Change risk posterior: </w:t>
      </w:r>
      <w:r>
        <w:rPr>
          <w:color w:val="17212B"/>
          <w:sz w:val="20"/>
          <w:szCs w:val="20"/>
        </w:rPr>
        <w:t xml:space="preserve">52%</w:t>
      </w:r>
    </w:p>
    <w:p>
      <w:pPr>
        <w:spacing w:after="70"/>
        <w:ind w:left="180"/>
      </w:pPr>
      <w:r>
        <w:rPr>
          <w:b/>
          <w:bCs/>
          <w:color w:val="1D3C5A"/>
          <w:sz w:val="20"/>
          <w:szCs w:val="20"/>
        </w:rPr>
        <w:t xml:space="preserve">Deferral risk posterior: </w:t>
      </w:r>
      <w:r>
        <w:rPr>
          <w:color w:val="17212B"/>
          <w:sz w:val="20"/>
          <w:szCs w:val="20"/>
        </w:rPr>
        <w:t xml:space="preserve">54%</w:t>
      </w:r>
    </w:p>
    <w:p>
      <w:pPr>
        <w:pStyle w:val="Heading1"/>
      </w:pPr>
      <w:r>
        <w:t xml:space="preserve">Vendor and Threat Landscape</w:t>
      </w:r>
    </w:p>
    <w:p>
      <w:pPr>
        <w:spacing w:after="70"/>
        <w:ind w:left="180"/>
      </w:pPr>
      <w:r>
        <w:rPr>
          <w:b/>
          <w:bCs/>
          <w:color w:val="1D3C5A"/>
          <w:sz w:val="20"/>
          <w:szCs w:val="20"/>
        </w:rPr>
        <w:t xml:space="preserve">Vendor intelligence: </w:t>
      </w:r>
      <w:r>
        <w:rPr>
          <w:color w:val="17212B"/>
          <w:sz w:val="20"/>
          <w:szCs w:val="20"/>
        </w:rPr>
        <w:t xml:space="preserve">Reviewed vendor advisory evidence has not yet been attached.</w:t>
      </w:r>
    </w:p>
    <w:p>
      <w:pPr>
        <w:spacing w:after="70"/>
        <w:ind w:left="180"/>
      </w:pPr>
      <w:r>
        <w:rPr>
          <w:b/>
          <w:bCs/>
          <w:color w:val="1D3C5A"/>
          <w:sz w:val="20"/>
          <w:szCs w:val="20"/>
        </w:rPr>
        <w:t xml:space="preserve">Vendor applicability: </w:t>
      </w:r>
      <w:r>
        <w:rPr>
          <w:color w:val="17212B"/>
          <w:sz w:val="20"/>
          <w:szCs w:val="20"/>
        </w:rPr>
        <w:t xml:space="preserve">Patch maturity, affected versions, workaround guidance, and remediation applicability remain unverified.</w:t>
      </w:r>
    </w:p>
    <w:p>
      <w:pPr>
        <w:spacing w:after="70"/>
        <w:ind w:left="180"/>
      </w:pPr>
      <w:r>
        <w:rPr>
          <w:b/>
          <w:bCs/>
          <w:color w:val="1D3C5A"/>
          <w:sz w:val="20"/>
          <w:szCs w:val="20"/>
        </w:rPr>
        <w:t xml:space="preserve">Threat landscape: </w:t>
      </w:r>
      <w:r>
        <w:rPr>
          <w:color w:val="17212B"/>
          <w:sz w:val="20"/>
          <w:szCs w:val="20"/>
        </w:rPr>
        <w:t xml:space="preserve">Threat metrics shown below are source-bound public-intelligence signals and do not close hard gates.</w:t>
      </w:r>
    </w:p>
    <w:p>
      <w:pPr>
        <w:spacing w:after="70"/>
        <w:ind w:left="180"/>
      </w:pPr>
      <w:r>
        <w:rPr>
          <w:b/>
          <w:bCs/>
          <w:color w:val="1D3C5A"/>
          <w:sz w:val="20"/>
          <w:szCs w:val="20"/>
        </w:rPr>
        <w:t xml:space="preserve">Active exploitation signals: </w:t>
      </w:r>
      <w:r>
        <w:rPr>
          <w:color w:val="17212B"/>
          <w:sz w:val="20"/>
          <w:szCs w:val="20"/>
        </w:rPr>
        <w:t xml:space="preserve">10</w:t>
      </w:r>
    </w:p>
    <w:p>
      <w:pPr>
        <w:spacing w:after="70"/>
        <w:ind w:left="180"/>
      </w:pPr>
      <w:r>
        <w:rPr>
          <w:b/>
          <w:bCs/>
          <w:color w:val="1D3C5A"/>
          <w:sz w:val="20"/>
          <w:szCs w:val="20"/>
        </w:rPr>
        <w:t xml:space="preserve">Critical open advisories: </w:t>
      </w:r>
      <w:r>
        <w:rPr>
          <w:color w:val="17212B"/>
          <w:sz w:val="20"/>
          <w:szCs w:val="20"/>
        </w:rPr>
        <w:t xml:space="preserve">2</w:t>
      </w:r>
    </w:p>
    <w:p>
      <w:pPr>
        <w:spacing w:after="70"/>
        <w:ind w:left="180"/>
      </w:pPr>
      <w:r>
        <w:rPr>
          <w:b/>
          <w:bCs/>
          <w:color w:val="1D3C5A"/>
          <w:sz w:val="20"/>
          <w:szCs w:val="20"/>
        </w:rPr>
        <w:t xml:space="preserve">Patch maturity: </w:t>
      </w:r>
      <w:r>
        <w:rPr>
          <w:color w:val="17212B"/>
          <w:sz w:val="20"/>
          <w:szCs w:val="20"/>
        </w:rPr>
        <w:t xml:space="preserve">Unknown</w:t>
      </w:r>
    </w:p>
    <w:p>
      <w:pPr>
        <w:spacing w:after="70"/>
        <w:ind w:left="180"/>
      </w:pPr>
      <w:r>
        <w:rPr>
          <w:b/>
          <w:bCs/>
          <w:color w:val="1D3C5A"/>
          <w:sz w:val="20"/>
          <w:szCs w:val="20"/>
        </w:rPr>
        <w:t xml:space="preserve">Source review: </w:t>
      </w:r>
      <w:r>
        <w:rPr>
          <w:color w:val="17212B"/>
          <w:sz w:val="20"/>
          <w:szCs w:val="20"/>
        </w:rPr>
        <w:t xml:space="preserve">Pending review unless explicitly accepted</w:t>
      </w:r>
    </w:p>
    <w:p>
      <w:pPr>
        <w:pStyle w:val="Heading1"/>
      </w:pPr>
      <w:r>
        <w:t xml:space="preserve">Network Vendor Applicability</w:t>
      </w:r>
    </w:p>
    <w:p>
      <w:pPr>
        <w:spacing w:after="120"/>
      </w:pPr>
      <w:r>
        <w:t xml:space="preserve">VendorLens context is attached to this signed pack as source-bound advisory intelligence.</w:t>
      </w:r>
    </w:p>
    <w:p>
      <w:pPr>
        <w:spacing w:after="70"/>
        <w:ind w:left="180"/>
      </w:pPr>
      <w:r>
        <w:rPr>
          <w:b/>
          <w:bCs/>
          <w:color w:val="1D3C5A"/>
          <w:sz w:val="20"/>
          <w:szCs w:val="20"/>
        </w:rPr>
        <w:t xml:space="preserve">Vendor: </w:t>
      </w:r>
      <w:r>
        <w:rPr>
          <w:color w:val="17212B"/>
          <w:sz w:val="20"/>
          <w:szCs w:val="20"/>
        </w:rPr>
        <w:t xml:space="preserve">Fortinet</w:t>
      </w:r>
    </w:p>
    <w:p>
      <w:pPr>
        <w:spacing w:after="70"/>
        <w:ind w:left="180"/>
      </w:pPr>
      <w:r>
        <w:rPr>
          <w:b/>
          <w:bCs/>
          <w:color w:val="1D3C5A"/>
          <w:sz w:val="20"/>
          <w:szCs w:val="20"/>
        </w:rPr>
        <w:t xml:space="preserve">Advisory / CVE: </w:t>
      </w:r>
      <w:r>
        <w:rPr>
          <w:color w:val="17212B"/>
          <w:sz w:val="20"/>
          <w:szCs w:val="20"/>
        </w:rPr>
        <w:t xml:space="preserve">CVE-2026-VENDORLENS-LIVE-001</w:t>
      </w:r>
    </w:p>
    <w:p>
      <w:pPr>
        <w:spacing w:after="70"/>
        <w:ind w:left="180"/>
      </w:pPr>
      <w:r>
        <w:rPr>
          <w:b/>
          <w:bCs/>
          <w:color w:val="1D3C5A"/>
          <w:sz w:val="20"/>
          <w:szCs w:val="20"/>
        </w:rPr>
        <w:t xml:space="preserve">Applicability posture: </w:t>
      </w:r>
      <w:r>
        <w:rPr>
          <w:color w:val="17212B"/>
          <w:sz w:val="20"/>
          <w:szCs w:val="20"/>
        </w:rPr>
        <w:t xml:space="preserve">Requires Review</w:t>
      </w:r>
    </w:p>
    <w:p>
      <w:pPr>
        <w:spacing w:after="70"/>
        <w:ind w:left="180"/>
      </w:pPr>
      <w:r>
        <w:rPr>
          <w:b/>
          <w:bCs/>
          <w:color w:val="1D3C5A"/>
          <w:sz w:val="20"/>
          <w:szCs w:val="20"/>
        </w:rPr>
        <w:t xml:space="preserve">Urgency posture: </w:t>
      </w:r>
      <w:r>
        <w:rPr>
          <w:color w:val="17212B"/>
          <w:sz w:val="20"/>
          <w:szCs w:val="20"/>
        </w:rPr>
        <w:t xml:space="preserve">Urgent Scope Confirmation Required</w:t>
      </w:r>
    </w:p>
    <w:p>
      <w:pPr>
        <w:spacing w:after="70"/>
        <w:ind w:left="180"/>
      </w:pPr>
      <w:r>
        <w:rPr>
          <w:b/>
          <w:bCs/>
          <w:color w:val="1D3C5A"/>
          <w:sz w:val="20"/>
          <w:szCs w:val="20"/>
        </w:rPr>
        <w:t xml:space="preserve">Human review: </w:t>
      </w:r>
      <w:r>
        <w:rPr>
          <w:color w:val="17212B"/>
          <w:sz w:val="20"/>
          <w:szCs w:val="20"/>
        </w:rPr>
        <w:t xml:space="preserve">Required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Customer Configuration Context</w:t>
      </w:r>
    </w:p>
    <w:p>
      <w:pPr>
        <w:spacing w:after="70"/>
        <w:ind w:left="180"/>
      </w:pPr>
      <w:r>
        <w:rPr>
          <w:b/>
          <w:bCs/>
          <w:color w:val="1D3C5A"/>
          <w:sz w:val="20"/>
          <w:szCs w:val="20"/>
        </w:rPr>
        <w:t xml:space="preserve">Asset: </w:t>
      </w:r>
      <w:r>
        <w:rPr>
          <w:color w:val="17212B"/>
          <w:sz w:val="20"/>
          <w:szCs w:val="20"/>
        </w:rPr>
        <w:t xml:space="preserve">net-asset-dd162874-c76a-4a7a-8b54-5f8dbbc614e9</w:t>
      </w:r>
    </w:p>
    <w:p>
      <w:pPr>
        <w:spacing w:after="70"/>
        <w:ind w:left="180"/>
      </w:pPr>
      <w:r>
        <w:rPr>
          <w:b/>
          <w:bCs/>
          <w:color w:val="1D3C5A"/>
          <w:sz w:val="20"/>
          <w:szCs w:val="20"/>
        </w:rPr>
        <w:t xml:space="preserve">Product family: </w:t>
      </w:r>
      <w:r>
        <w:rPr>
          <w:color w:val="17212B"/>
          <w:sz w:val="20"/>
          <w:szCs w:val="20"/>
        </w:rPr>
        <w:t xml:space="preserve">FortiGate</w:t>
      </w:r>
    </w:p>
    <w:p>
      <w:pPr>
        <w:spacing w:after="70"/>
        <w:ind w:left="180"/>
      </w:pPr>
      <w:r>
        <w:rPr>
          <w:b/>
          <w:bCs/>
          <w:color w:val="1D3C5A"/>
          <w:sz w:val="20"/>
          <w:szCs w:val="20"/>
        </w:rPr>
        <w:t xml:space="preserve">Model: </w:t>
      </w:r>
      <w:r>
        <w:rPr>
          <w:color w:val="17212B"/>
          <w:sz w:val="20"/>
          <w:szCs w:val="20"/>
        </w:rPr>
        <w:t xml:space="preserve">FortiGate 100F</w:t>
      </w:r>
    </w:p>
    <w:p>
      <w:pPr>
        <w:spacing w:after="70"/>
        <w:ind w:left="180"/>
      </w:pPr>
      <w:r>
        <w:rPr>
          <w:b/>
          <w:bCs/>
          <w:color w:val="1D3C5A"/>
          <w:sz w:val="20"/>
          <w:szCs w:val="20"/>
        </w:rPr>
        <w:t xml:space="preserve">Firmware / version: </w:t>
      </w:r>
      <w:r>
        <w:rPr>
          <w:color w:val="17212B"/>
          <w:sz w:val="20"/>
          <w:szCs w:val="20"/>
        </w:rPr>
        <w:t xml:space="preserve">7.2.7</w:t>
      </w:r>
    </w:p>
    <w:p>
      <w:pPr>
        <w:spacing w:after="70"/>
        <w:ind w:left="180"/>
      </w:pPr>
      <w:r>
        <w:rPr>
          <w:b/>
          <w:bCs/>
          <w:color w:val="1D3C5A"/>
          <w:sz w:val="20"/>
          <w:szCs w:val="20"/>
        </w:rPr>
        <w:t xml:space="preserve">Enabled features: </w:t>
      </w:r>
      <w:r>
        <w:rPr>
          <w:color w:val="17212B"/>
          <w:sz w:val="20"/>
          <w:szCs w:val="20"/>
        </w:rPr>
        <w:t xml:space="preserve">ipsec_vpn, bgp_edge</w:t>
      </w:r>
    </w:p>
    <w:p>
      <w:pPr>
        <w:spacing w:after="70"/>
        <w:ind w:left="180"/>
      </w:pPr>
      <w:r>
        <w:rPr>
          <w:b/>
          <w:bCs/>
          <w:color w:val="1D3C5A"/>
          <w:sz w:val="20"/>
          <w:szCs w:val="20"/>
        </w:rPr>
        <w:t xml:space="preserve">Disabled features: </w:t>
      </w:r>
      <w:r>
        <w:rPr>
          <w:color w:val="17212B"/>
          <w:sz w:val="20"/>
          <w:szCs w:val="20"/>
        </w:rPr>
        <w:t xml:space="preserve">ssl_vpn, web_management</w:t>
      </w:r>
    </w:p>
    <w:p>
      <w:pPr>
        <w:spacing w:after="70"/>
        <w:ind w:left="180"/>
      </w:pPr>
      <w:r>
        <w:rPr>
          <w:b/>
          <w:bCs/>
          <w:color w:val="1D3C5A"/>
          <w:sz w:val="20"/>
          <w:szCs w:val="20"/>
        </w:rPr>
        <w:t xml:space="preserve">Configuration evidence: </w:t>
      </w:r>
      <w:r>
        <w:rPr>
          <w:color w:val="17212B"/>
          <w:sz w:val="20"/>
          <w:szCs w:val="20"/>
        </w:rPr>
        <w:t xml:space="preserve">asset-owner-attestation-pending</w:t>
      </w:r>
    </w:p>
    <w:p>
      <w:pPr>
        <w:spacing w:after="70"/>
        <w:ind w:left="180"/>
      </w:pPr>
      <w:r>
        <w:rPr>
          <w:b/>
          <w:bCs/>
          <w:color w:val="1D3C5A"/>
          <w:sz w:val="20"/>
          <w:szCs w:val="20"/>
        </w:rPr>
        <w:t xml:space="preserve">Review state: </w:t>
      </w:r>
      <w:r>
        <w:rPr>
          <w:color w:val="17212B"/>
          <w:sz w:val="20"/>
          <w:szCs w:val="20"/>
        </w:rPr>
        <w:t xml:space="preserve">Pending Review</w:t>
      </w:r>
    </w:p>
    <w:p>
      <w:pPr>
        <w:pStyle w:val="Heading2"/>
      </w:pPr>
      <w:r>
        <w:t xml:space="preserve">Affected Feature Assessment</w:t>
      </w:r>
    </w:p>
    <w:p>
      <w:pPr>
        <w:spacing w:after="70"/>
        <w:ind w:left="180"/>
      </w:pPr>
      <w:r>
        <w:rPr>
          <w:b/>
          <w:bCs/>
          <w:color w:val="1D3C5A"/>
          <w:sz w:val="20"/>
          <w:szCs w:val="20"/>
        </w:rPr>
        <w:t xml:space="preserve">Affected feature: </w:t>
      </w:r>
      <w:r>
        <w:rPr>
          <w:color w:val="17212B"/>
          <w:sz w:val="20"/>
          <w:szCs w:val="20"/>
        </w:rPr>
        <w:t xml:space="preserve">Ssl Vpn</w:t>
      </w:r>
    </w:p>
    <w:p>
      <w:pPr>
        <w:spacing w:after="70"/>
        <w:ind w:left="180"/>
      </w:pPr>
      <w:r>
        <w:rPr>
          <w:b/>
          <w:bCs/>
          <w:color w:val="1D3C5A"/>
          <w:sz w:val="20"/>
          <w:szCs w:val="20"/>
        </w:rPr>
        <w:t xml:space="preserve">Affected version status: </w:t>
      </w:r>
      <w:r>
        <w:rPr>
          <w:color w:val="17212B"/>
          <w:sz w:val="20"/>
          <w:szCs w:val="20"/>
        </w:rPr>
        <w:t xml:space="preserve">Affected</w:t>
      </w:r>
    </w:p>
    <w:p>
      <w:pPr>
        <w:spacing w:after="70"/>
        <w:ind w:left="180"/>
      </w:pPr>
      <w:r>
        <w:rPr>
          <w:b/>
          <w:bCs/>
          <w:color w:val="1D3C5A"/>
          <w:sz w:val="20"/>
          <w:szCs w:val="20"/>
        </w:rPr>
        <w:t xml:space="preserve">Affected feature status: </w:t>
      </w:r>
      <w:r>
        <w:rPr>
          <w:color w:val="17212B"/>
          <w:sz w:val="20"/>
          <w:szCs w:val="20"/>
        </w:rPr>
        <w:t xml:space="preserve">Disabled Unreviewed</w:t>
      </w:r>
    </w:p>
    <w:p>
      <w:pPr>
        <w:spacing w:after="70"/>
        <w:ind w:left="180"/>
      </w:pPr>
      <w:r>
        <w:rPr>
          <w:b/>
          <w:bCs/>
          <w:color w:val="1D3C5A"/>
          <w:sz w:val="20"/>
          <w:szCs w:val="20"/>
        </w:rPr>
        <w:t xml:space="preserve">Feature enabled status: </w:t>
      </w:r>
      <w:r>
        <w:rPr>
          <w:color w:val="17212B"/>
          <w:sz w:val="20"/>
          <w:szCs w:val="20"/>
        </w:rPr>
        <w:t xml:space="preserve">Disabled Unreviewed</w:t>
      </w:r>
    </w:p>
    <w:p>
      <w:pPr>
        <w:pStyle w:val="Heading2"/>
      </w:pPr>
      <w:r>
        <w:t xml:space="preserve">Exposure Assessment</w:t>
      </w:r>
    </w:p>
    <w:p>
      <w:pPr>
        <w:spacing w:after="70"/>
        <w:ind w:left="180"/>
      </w:pPr>
      <w:r>
        <w:rPr>
          <w:b/>
          <w:bCs/>
          <w:color w:val="1D3C5A"/>
          <w:sz w:val="20"/>
          <w:szCs w:val="20"/>
        </w:rPr>
        <w:t xml:space="preserve">Internet-facing: </w:t>
      </w:r>
      <w:r>
        <w:rPr>
          <w:color w:val="17212B"/>
          <w:sz w:val="20"/>
          <w:szCs w:val="20"/>
        </w:rPr>
        <w:t xml:space="preserve">Yes, source-bound pending review unless accepted</w:t>
      </w:r>
    </w:p>
    <w:p>
      <w:pPr>
        <w:spacing w:after="70"/>
        <w:ind w:left="180"/>
      </w:pPr>
      <w:r>
        <w:rPr>
          <w:b/>
          <w:bCs/>
          <w:color w:val="1D3C5A"/>
          <w:sz w:val="20"/>
          <w:szCs w:val="20"/>
        </w:rPr>
        <w:t xml:space="preserve">Management exposure: </w:t>
      </w:r>
      <w:r>
        <w:rPr>
          <w:color w:val="17212B"/>
          <w:sz w:val="20"/>
          <w:szCs w:val="20"/>
        </w:rPr>
        <w:t xml:space="preserve">Internal</w:t>
      </w:r>
    </w:p>
    <w:p>
      <w:pPr>
        <w:spacing w:after="70"/>
        <w:ind w:left="180"/>
      </w:pPr>
      <w:r>
        <w:rPr>
          <w:b/>
          <w:bCs/>
          <w:color w:val="1D3C5A"/>
          <w:sz w:val="20"/>
          <w:szCs w:val="20"/>
        </w:rPr>
        <w:t xml:space="preserve">Exposure status: </w:t>
      </w:r>
      <w:r>
        <w:rPr>
          <w:color w:val="17212B"/>
          <w:sz w:val="20"/>
          <w:szCs w:val="20"/>
        </w:rPr>
        <w:t xml:space="preserve">Internet Or Management Exposed</w:t>
      </w:r>
    </w:p>
    <w:p>
      <w:pPr>
        <w:pStyle w:val="Heading2"/>
      </w:pPr>
      <w:r>
        <w:t xml:space="preserve">Evidence Required to Prove Not Applicable</w:t>
      </w:r>
    </w:p>
    <w:p>
      <w:pPr>
        <w:spacing w:after="60" w:before="120"/>
      </w:pPr>
      <w:r>
        <w:rPr>
          <w:b/>
          <w:bCs/>
          <w:color w:val="1D3C5A"/>
          <w:sz w:val="22"/>
          <w:szCs w:val="22"/>
        </w:rPr>
        <w:t xml:space="preserve">Feature Disabled Review</w:t>
      </w:r>
    </w:p>
    <w:p>
      <w:pPr>
        <w:spacing w:after="70"/>
        <w:ind w:left="220"/>
      </w:pPr>
      <w:r>
        <w:rPr>
          <w:b/>
          <w:bCs/>
          <w:color w:val="1D3C5A"/>
          <w:sz w:val="20"/>
          <w:szCs w:val="20"/>
        </w:rPr>
        <w:t xml:space="preserve">Plain English gap: </w:t>
      </w:r>
      <w:r>
        <w:rPr>
          <w:color w:val="17212B"/>
          <w:sz w:val="20"/>
          <w:szCs w:val="20"/>
        </w:rPr>
        <w:t xml:space="preserve">ssl vpn is recorded as disabled, but that configuration evidence is not reviewed.</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Reviewed configuration export, change record, service owner attestation, or device configuration evidence.</w:t>
      </w:r>
    </w:p>
    <w:p>
      <w:pPr>
        <w:spacing w:after="70"/>
        <w:ind w:left="220"/>
      </w:pPr>
      <w:r>
        <w:rPr>
          <w:b/>
          <w:bCs/>
          <w:color w:val="1D3C5A"/>
          <w:sz w:val="20"/>
          <w:szCs w:val="20"/>
        </w:rPr>
        <w:t xml:space="preserve">Suggested owner: </w:t>
      </w:r>
      <w:r>
        <w:rPr>
          <w:color w:val="17212B"/>
          <w:sz w:val="20"/>
          <w:szCs w:val="20"/>
        </w:rPr>
        <w:t xml:space="preserve">Network engineering lead</w:t>
      </w:r>
    </w:p>
    <w:p>
      <w:pPr>
        <w:spacing w:after="70"/>
        <w:ind w:left="220"/>
      </w:pPr>
      <w:r>
        <w:rPr>
          <w:b/>
          <w:bCs/>
          <w:color w:val="1D3C5A"/>
          <w:sz w:val="20"/>
          <w:szCs w:val="20"/>
        </w:rPr>
        <w:t xml:space="preserve">Next decision gate: </w:t>
      </w:r>
      <w:r>
        <w:rPr>
          <w:color w:val="17212B"/>
          <w:sz w:val="20"/>
          <w:szCs w:val="20"/>
        </w:rPr>
        <w:t xml:space="preserve">Configuration applicability review</w:t>
      </w:r>
    </w:p>
    <w:p>
      <w:pPr>
        <w:spacing w:after="60" w:before="120"/>
      </w:pPr>
      <w:r>
        <w:rPr>
          <w:b/>
          <w:bCs/>
          <w:color w:val="1D3C5A"/>
          <w:sz w:val="22"/>
          <w:szCs w:val="22"/>
        </w:rPr>
        <w:t xml:space="preserve">Advisory Source Review</w:t>
      </w:r>
    </w:p>
    <w:p>
      <w:pPr>
        <w:spacing w:after="70"/>
        <w:ind w:left="220"/>
      </w:pPr>
      <w:r>
        <w:rPr>
          <w:b/>
          <w:bCs/>
          <w:color w:val="1D3C5A"/>
          <w:sz w:val="20"/>
          <w:szCs w:val="20"/>
        </w:rPr>
        <w:t xml:space="preserve">Plain English gap: </w:t>
      </w:r>
      <w:r>
        <w:rPr>
          <w:color w:val="17212B"/>
          <w:sz w:val="20"/>
          <w:szCs w:val="20"/>
        </w:rPr>
        <w:t xml:space="preserve">The vendor/CVE source record has not been accepted as positive evidence.</w:t>
      </w:r>
    </w:p>
    <w:p>
      <w:pPr>
        <w:spacing w:after="70"/>
        <w:ind w:left="220"/>
      </w:pPr>
      <w:r>
        <w:rPr>
          <w:b/>
          <w:bCs/>
          <w:color w:val="1D3C5A"/>
          <w:sz w:val="20"/>
          <w:szCs w:val="20"/>
        </w:rPr>
        <w:t xml:space="preserve">Why it matters: </w:t>
      </w:r>
      <w:r>
        <w:rPr>
          <w:color w:val="17212B"/>
          <w:sz w:val="20"/>
          <w:szCs w:val="20"/>
        </w:rPr>
        <w:t xml:space="preserve">PatchForge cannot support an accountable customer/CAB decision without reviewed evidence for this point.</w:t>
      </w:r>
    </w:p>
    <w:p>
      <w:pPr>
        <w:spacing w:after="70"/>
        <w:ind w:left="220"/>
      </w:pPr>
      <w:r>
        <w:rPr>
          <w:b/>
          <w:bCs/>
          <w:color w:val="1D3C5A"/>
          <w:sz w:val="20"/>
          <w:szCs w:val="20"/>
        </w:rPr>
        <w:t xml:space="preserve">Required evidence: </w:t>
      </w:r>
      <w:r>
        <w:rPr>
          <w:color w:val="17212B"/>
          <w:sz w:val="20"/>
          <w:szCs w:val="20"/>
        </w:rPr>
        <w:t xml:space="preserve">Named reviewer event accepting the source record, affected versions, affected feature, and source provenance.</w:t>
      </w:r>
    </w:p>
    <w:p>
      <w:pPr>
        <w:spacing w:after="70"/>
        <w:ind w:left="220"/>
      </w:pPr>
      <w:r>
        <w:rPr>
          <w:b/>
          <w:bCs/>
          <w:color w:val="1D3C5A"/>
          <w:sz w:val="20"/>
          <w:szCs w:val="20"/>
        </w:rPr>
        <w:t xml:space="preserve">Suggested owner: </w:t>
      </w:r>
      <w:r>
        <w:rPr>
          <w:color w:val="17212B"/>
          <w:sz w:val="20"/>
          <w:szCs w:val="20"/>
        </w:rPr>
        <w:t xml:space="preserve">Security lead</w:t>
      </w:r>
    </w:p>
    <w:p>
      <w:pPr>
        <w:spacing w:after="70"/>
        <w:ind w:left="220"/>
      </w:pPr>
      <w:r>
        <w:rPr>
          <w:b/>
          <w:bCs/>
          <w:color w:val="1D3C5A"/>
          <w:sz w:val="20"/>
          <w:szCs w:val="20"/>
        </w:rPr>
        <w:t xml:space="preserve">Next decision gate: </w:t>
      </w:r>
      <w:r>
        <w:rPr>
          <w:color w:val="17212B"/>
          <w:sz w:val="20"/>
          <w:szCs w:val="20"/>
        </w:rPr>
        <w:t xml:space="preserve">Source review</w:t>
      </w:r>
    </w:p>
    <w:p>
      <w:pPr>
        <w:pStyle w:val="Heading2"/>
      </w:pPr>
      <w:r>
        <w:t xml:space="preserve">Urgent Patch / Mitigation / Scope Confirmation Recommendation</w:t>
      </w:r>
    </w:p>
    <w:p>
      <w:pPr>
        <w:spacing w:after="120"/>
      </w:pPr>
      <w:r>
        <w:t xml:space="preserve">Confirm vendor advisory source, customer asset, firmware, feature, and exposure evidence.</w:t>
      </w:r>
    </w:p>
    <w:p>
      <w:pPr>
        <w:pStyle w:val="Heading2"/>
      </w:pPr>
      <w:r>
        <w:t xml:space="preserve">SRA/AIP Chat Summary</w:t>
      </w:r>
    </w:p>
    <w:p>
      <w:pPr>
        <w:spacing w:after="70"/>
        <w:ind w:left="180"/>
      </w:pPr>
      <w:r>
        <w:rPr>
          <w:b/>
          <w:bCs/>
          <w:color w:val="1D3C5A"/>
          <w:sz w:val="20"/>
          <w:szCs w:val="20"/>
        </w:rPr>
        <w:t xml:space="preserve">Session: </w:t>
      </w:r>
      <w:r>
        <w:rPr>
          <w:color w:val="17212B"/>
          <w:sz w:val="20"/>
          <w:szCs w:val="20"/>
        </w:rPr>
        <w:t xml:space="preserve">vl-chat-1779887623314-a7f2ec78</w:t>
      </w:r>
    </w:p>
    <w:p>
      <w:pPr>
        <w:spacing w:after="70"/>
        <w:ind w:left="180"/>
      </w:pPr>
      <w:r>
        <w:rPr>
          <w:b/>
          <w:bCs/>
          <w:color w:val="1D3C5A"/>
          <w:sz w:val="20"/>
          <w:szCs w:val="20"/>
        </w:rPr>
        <w:t xml:space="preserve">Short answer: </w:t>
      </w:r>
      <w:r>
        <w:rPr>
          <w:color w:val="17212B"/>
          <w:sz w:val="20"/>
          <w:szCs w:val="20"/>
        </w:rPr>
        <w:t xml:space="preserve">PatchForge cannot safely declare this configuration unaffected yet; complete scope and configuration evidence review first.</w:t>
      </w:r>
    </w:p>
    <w:p>
      <w:pPr>
        <w:spacing w:after="70"/>
        <w:ind w:left="180"/>
      </w:pPr>
      <w:r>
        <w:rPr>
          <w:b/>
          <w:bCs/>
          <w:color w:val="1D3C5A"/>
          <w:sz w:val="20"/>
          <w:szCs w:val="20"/>
        </w:rPr>
        <w:t xml:space="preserve">Governed posture: </w:t>
      </w:r>
      <w:r>
        <w:rPr>
          <w:color w:val="17212B"/>
          <w:sz w:val="20"/>
          <w:szCs w:val="20"/>
        </w:rPr>
        <w:t xml:space="preserve">Urgent Scope Confirmation Required</w:t>
      </w:r>
    </w:p>
    <w:p>
      <w:pPr>
        <w:spacing w:after="70"/>
        <w:ind w:left="180"/>
      </w:pPr>
      <w:r>
        <w:rPr>
          <w:b/>
          <w:bCs/>
          <w:color w:val="1D3C5A"/>
          <w:sz w:val="20"/>
          <w:szCs w:val="20"/>
        </w:rPr>
        <w:t xml:space="preserve">Decision not allowed yet: </w:t>
      </w:r>
      <w:r>
        <w:rPr>
          <w:color w:val="17212B"/>
          <w:sz w:val="20"/>
          <w:szCs w:val="20"/>
        </w:rPr>
        <w:t xml:space="preserve">Final remediation, risk acceptance, closure, and not-applicable decisions cannot be issued until the evidence gaps are resolved and a human reviewer approves the outcome.</w:t>
      </w:r>
    </w:p>
    <w:p>
      <w:pPr>
        <w:pStyle w:val="Heading1"/>
      </w:pPr>
      <w:r>
        <w:t xml:space="preserve">Patch Version Comparison for CISO Review</w:t>
      </w:r>
    </w:p>
    <w:p>
      <w:pPr>
        <w:spacing w:after="120"/>
      </w:pPr>
      <w:r>
        <w:t xml:space="preserve">Patch version comparison was not attached to this signed pack.</w:t>
      </w:r>
    </w:p>
    <w:p>
      <w:pPr>
        <w:spacing w:after="70"/>
        <w:ind w:left="180"/>
      </w:pPr>
      <w:r>
        <w:rPr>
          <w:b/>
          <w:bCs/>
          <w:color w:val="1D3C5A"/>
          <w:sz w:val="20"/>
          <w:szCs w:val="20"/>
        </w:rPr>
        <w:t xml:space="preserve">Vendor: </w:t>
      </w:r>
      <w:r>
        <w:rPr>
          <w:color w:val="17212B"/>
          <w:sz w:val="20"/>
          <w:szCs w:val="20"/>
        </w:rPr>
        <w:t xml:space="preserve">Not attached</w:t>
      </w:r>
    </w:p>
    <w:p>
      <w:pPr>
        <w:spacing w:after="70"/>
        <w:ind w:left="180"/>
      </w:pPr>
      <w:r>
        <w:rPr>
          <w:b/>
          <w:bCs/>
          <w:color w:val="1D3C5A"/>
          <w:sz w:val="20"/>
          <w:szCs w:val="20"/>
        </w:rPr>
        <w:t xml:space="preserve">Asset: </w:t>
      </w:r>
      <w:r>
        <w:rPr>
          <w:color w:val="17212B"/>
          <w:sz w:val="20"/>
          <w:szCs w:val="20"/>
        </w:rPr>
        <w:t xml:space="preserve">Not attached</w:t>
      </w:r>
    </w:p>
    <w:p>
      <w:pPr>
        <w:spacing w:after="70"/>
        <w:ind w:left="180"/>
      </w:pPr>
      <w:r>
        <w:rPr>
          <w:b/>
          <w:bCs/>
          <w:color w:val="1D3C5A"/>
          <w:sz w:val="20"/>
          <w:szCs w:val="20"/>
        </w:rPr>
        <w:t xml:space="preserve">Advisory / CVE: </w:t>
      </w:r>
      <w:r>
        <w:rPr>
          <w:color w:val="17212B"/>
          <w:sz w:val="20"/>
          <w:szCs w:val="20"/>
        </w:rPr>
        <w:t xml:space="preserve">Not attached</w:t>
      </w:r>
    </w:p>
    <w:p>
      <w:pPr>
        <w:spacing w:after="70"/>
        <w:ind w:left="180"/>
      </w:pPr>
      <w:r>
        <w:rPr>
          <w:b/>
          <w:bCs/>
          <w:color w:val="1D3C5A"/>
          <w:sz w:val="20"/>
          <w:szCs w:val="20"/>
        </w:rPr>
        <w:t xml:space="preserve">Current version: </w:t>
      </w:r>
      <w:r>
        <w:rPr>
          <w:color w:val="17212B"/>
          <w:sz w:val="20"/>
          <w:szCs w:val="20"/>
        </w:rPr>
        <w:t xml:space="preserve">Not recorded</w:t>
      </w:r>
    </w:p>
    <w:p>
      <w:pPr>
        <w:spacing w:after="70"/>
        <w:ind w:left="180"/>
      </w:pPr>
      <w:r>
        <w:rPr>
          <w:b/>
          <w:bCs/>
          <w:color w:val="1D3C5A"/>
          <w:sz w:val="20"/>
          <w:szCs w:val="20"/>
        </w:rPr>
        <w:t xml:space="preserve">Target / fixed version: </w:t>
      </w:r>
      <w:r>
        <w:rPr>
          <w:color w:val="17212B"/>
          <w:sz w:val="20"/>
          <w:szCs w:val="20"/>
        </w:rPr>
        <w:t xml:space="preserve">Not recorded</w:t>
      </w:r>
    </w:p>
    <w:p>
      <w:pPr>
        <w:spacing w:after="70"/>
        <w:ind w:left="180"/>
      </w:pPr>
      <w:r>
        <w:rPr>
          <w:b/>
          <w:bCs/>
          <w:color w:val="1D3C5A"/>
          <w:sz w:val="20"/>
          <w:szCs w:val="20"/>
        </w:rPr>
        <w:t xml:space="preserve">Current version status: </w:t>
      </w:r>
      <w:r>
        <w:rPr>
          <w:color w:val="17212B"/>
          <w:sz w:val="20"/>
          <w:szCs w:val="20"/>
        </w:rPr>
        <w:t xml:space="preserve">Not Assessed</w:t>
      </w:r>
    </w:p>
    <w:p>
      <w:pPr>
        <w:spacing w:after="70"/>
        <w:ind w:left="180"/>
      </w:pPr>
      <w:r>
        <w:rPr>
          <w:b/>
          <w:bCs/>
          <w:color w:val="1D3C5A"/>
          <w:sz w:val="20"/>
          <w:szCs w:val="20"/>
        </w:rPr>
        <w:t xml:space="preserve">Target version status: </w:t>
      </w:r>
      <w:r>
        <w:rPr>
          <w:color w:val="17212B"/>
          <w:sz w:val="20"/>
          <w:szCs w:val="20"/>
        </w:rPr>
        <w:t xml:space="preserve">Not Assessed</w:t>
      </w:r>
    </w:p>
    <w:p>
      <w:pPr>
        <w:spacing w:after="70"/>
        <w:ind w:left="180"/>
      </w:pPr>
      <w:r>
        <w:rPr>
          <w:b/>
          <w:bCs/>
          <w:color w:val="1D3C5A"/>
          <w:sz w:val="20"/>
          <w:szCs w:val="20"/>
        </w:rPr>
        <w:t xml:space="preserve">Final approval: </w:t>
      </w:r>
      <w:r>
        <w:rPr>
          <w:color w:val="17212B"/>
          <w:sz w:val="20"/>
          <w:szCs w:val="20"/>
        </w:rPr>
        <w:t xml:space="preserve">Not issued</w:t>
      </w:r>
    </w:p>
    <w:p>
      <w:pPr>
        <w:pStyle w:val="Heading2"/>
      </w:pPr>
      <w:r>
        <w:t xml:space="preserve">Security Delta</w:t>
      </w:r>
    </w:p>
    <w:p>
      <w:pPr>
        <w:spacing w:after="120"/>
      </w:pPr>
      <w:r>
        <w:t xml:space="preserve">Reviewed release-note evidence is required before PatchForge can state the exact security changes introduced by the target version.</w:t>
      </w:r>
    </w:p>
    <w:p>
      <w:pPr>
        <w:pStyle w:val="Heading2"/>
      </w:pPr>
      <w:r>
        <w:t xml:space="preserve">Operational Delta and Evidence Required</w:t>
      </w:r>
    </w:p>
    <w:p>
      <w:pPr>
        <w:pStyle w:val="ListParagraph"/>
        <w:numPr>
          <w:ilvl w:val="0"/>
          <w:numId w:val="1"/>
        </w:numPr>
        <w:spacing w:after="80"/>
      </w:pPr>
      <w:r>
        <w:rPr>
          <w:color w:val="17212B"/>
          <w:sz w:val="20"/>
          <w:szCs w:val="20"/>
        </w:rPr>
        <w:t xml:space="preserve">Not recorded</w:t>
      </w:r>
    </w:p>
    <w:p>
      <w:pPr>
        <w:pStyle w:val="Heading2"/>
      </w:pPr>
      <w:r>
        <w:t xml:space="preserve">CISO Summary</w:t>
      </w:r>
    </w:p>
    <w:p>
      <w:pPr>
        <w:spacing w:after="120"/>
      </w:pPr>
      <w:r>
        <w:t xml:space="preserve">No CISO version-comparison summary is available because the comparison artefact was not attached.</w:t>
      </w:r>
    </w:p>
    <w:p>
      <w:pPr>
        <w:pStyle w:val="Heading1"/>
      </w:pPr>
      <w:r>
        <w:t xml:space="preserve">Blockers and Required Human Actions</w:t>
      </w:r>
    </w:p>
    <w:p>
      <w:pPr>
        <w:spacing w:after="60" w:before="120"/>
      </w:pPr>
      <w:r>
        <w:rPr>
          <w:b/>
          <w:bCs/>
          <w:color w:val="1D3C5A"/>
          <w:sz w:val="22"/>
          <w:szCs w:val="22"/>
        </w:rPr>
        <w:t xml:space="preserve">Reviewed Vulnerability Identity Evidence</w:t>
      </w:r>
    </w:p>
    <w:p>
      <w:pPr>
        <w:spacing w:after="70"/>
        <w:ind w:left="220"/>
      </w:pPr>
      <w:r>
        <w:rPr>
          <w:b/>
          <w:bCs/>
          <w:color w:val="1D3C5A"/>
          <w:sz w:val="20"/>
          <w:szCs w:val="20"/>
        </w:rPr>
        <w:t xml:space="preserve">Owner: </w:t>
      </w:r>
      <w:r>
        <w:rPr>
          <w:color w:val="17212B"/>
          <w:sz w:val="20"/>
          <w:szCs w:val="20"/>
        </w:rPr>
        <w:t xml:space="preserve">Security lead or vulnerability manager</w:t>
      </w:r>
    </w:p>
    <w:p>
      <w:pPr>
        <w:spacing w:after="70"/>
        <w:ind w:left="220"/>
      </w:pPr>
      <w:r>
        <w:rPr>
          <w:b/>
          <w:bCs/>
          <w:color w:val="1D3C5A"/>
          <w:sz w:val="20"/>
          <w:szCs w:val="20"/>
        </w:rPr>
        <w:t xml:space="preserve">Required outcome: </w:t>
      </w:r>
      <w:r>
        <w:rPr>
          <w:color w:val="17212B"/>
          <w:sz w:val="20"/>
          <w:szCs w:val="20"/>
        </w:rPr>
        <w:t xml:space="preserve">Reviewed CISA/CVE/vendor advisory record confirming CVE, product, affected versions, and source provenance.</w:t>
      </w:r>
    </w:p>
    <w:p>
      <w:pPr>
        <w:spacing w:after="70"/>
        <w:ind w:left="220"/>
      </w:pPr>
      <w:r>
        <w:rPr>
          <w:b/>
          <w:bCs/>
          <w:color w:val="1D3C5A"/>
          <w:sz w:val="20"/>
          <w:szCs w:val="20"/>
        </w:rPr>
        <w:t xml:space="preserve">Next gate: </w:t>
      </w:r>
      <w:r>
        <w:rPr>
          <w:color w:val="17212B"/>
          <w:sz w:val="20"/>
          <w:szCs w:val="20"/>
        </w:rPr>
        <w:t xml:space="preserve">Source identity review</w:t>
      </w:r>
    </w:p>
    <w:p>
      <w:pPr>
        <w:spacing w:after="60" w:before="120"/>
      </w:pPr>
      <w:r>
        <w:rPr>
          <w:b/>
          <w:bCs/>
          <w:color w:val="1D3C5A"/>
          <w:sz w:val="22"/>
          <w:szCs w:val="22"/>
        </w:rPr>
        <w:t xml:space="preserve">Affected Asset Scope</w:t>
      </w:r>
    </w:p>
    <w:p>
      <w:pPr>
        <w:spacing w:after="70"/>
        <w:ind w:left="220"/>
      </w:pPr>
      <w:r>
        <w:rPr>
          <w:b/>
          <w:bCs/>
          <w:color w:val="1D3C5A"/>
          <w:sz w:val="20"/>
          <w:szCs w:val="20"/>
        </w:rPr>
        <w:t xml:space="preserve">Owner: </w:t>
      </w:r>
      <w:r>
        <w:rPr>
          <w:color w:val="17212B"/>
          <w:sz w:val="20"/>
          <w:szCs w:val="20"/>
        </w:rPr>
        <w:t xml:space="preserve">Asset owner or infrastructure lead</w:t>
      </w:r>
    </w:p>
    <w:p>
      <w:pPr>
        <w:spacing w:after="70"/>
        <w:ind w:left="220"/>
      </w:pPr>
      <w:r>
        <w:rPr>
          <w:b/>
          <w:bCs/>
          <w:color w:val="1D3C5A"/>
          <w:sz w:val="20"/>
          <w:szCs w:val="20"/>
        </w:rPr>
        <w:t xml:space="preserve">Required outcome: </w:t>
      </w:r>
      <w:r>
        <w:rPr>
          <w:color w:val="17212B"/>
          <w:sz w:val="20"/>
          <w:szCs w:val="20"/>
        </w:rPr>
        <w:t xml:space="preserve">CMDB, hosting control panel inventory, scanner output, asset owner confirmation.</w:t>
      </w:r>
    </w:p>
    <w:p>
      <w:pPr>
        <w:spacing w:after="70"/>
        <w:ind w:left="220"/>
      </w:pPr>
      <w:r>
        <w:rPr>
          <w:b/>
          <w:bCs/>
          <w:color w:val="1D3C5A"/>
          <w:sz w:val="20"/>
          <w:szCs w:val="20"/>
        </w:rPr>
        <w:t xml:space="preserve">Next gate: </w:t>
      </w:r>
      <w:r>
        <w:rPr>
          <w:color w:val="17212B"/>
          <w:sz w:val="20"/>
          <w:szCs w:val="20"/>
        </w:rPr>
        <w:t xml:space="preserve">Asset exposure confirmation</w:t>
      </w:r>
    </w:p>
    <w:p>
      <w:pPr>
        <w:spacing w:after="60" w:before="120"/>
      </w:pPr>
      <w:r>
        <w:rPr>
          <w:b/>
          <w:bCs/>
          <w:color w:val="1D3C5A"/>
          <w:sz w:val="22"/>
          <w:szCs w:val="22"/>
        </w:rPr>
        <w:t xml:space="preserve">Business Service Impact</w:t>
      </w:r>
    </w:p>
    <w:p>
      <w:pPr>
        <w:spacing w:after="70"/>
        <w:ind w:left="220"/>
      </w:pPr>
      <w:r>
        <w:rPr>
          <w:b/>
          <w:bCs/>
          <w:color w:val="1D3C5A"/>
          <w:sz w:val="20"/>
          <w:szCs w:val="20"/>
        </w:rPr>
        <w:t xml:space="preserve">Owner: </w:t>
      </w:r>
      <w:r>
        <w:rPr>
          <w:color w:val="17212B"/>
          <w:sz w:val="20"/>
          <w:szCs w:val="20"/>
        </w:rPr>
        <w:t xml:space="preserve">Service owner</w:t>
      </w:r>
    </w:p>
    <w:p>
      <w:pPr>
        <w:spacing w:after="70"/>
        <w:ind w:left="220"/>
      </w:pPr>
      <w:r>
        <w:rPr>
          <w:b/>
          <w:bCs/>
          <w:color w:val="1D3C5A"/>
          <w:sz w:val="20"/>
          <w:szCs w:val="20"/>
        </w:rPr>
        <w:t xml:space="preserve">Required outcome: </w:t>
      </w:r>
      <w:r>
        <w:rPr>
          <w:color w:val="17212B"/>
          <w:sz w:val="20"/>
          <w:szCs w:val="20"/>
        </w:rPr>
        <w:t xml:space="preserve">Service map, customer-facing flag, SLA/OLA impact, service owner.</w:t>
      </w:r>
    </w:p>
    <w:p>
      <w:pPr>
        <w:spacing w:after="70"/>
        <w:ind w:left="220"/>
      </w:pPr>
      <w:r>
        <w:rPr>
          <w:b/>
          <w:bCs/>
          <w:color w:val="1D3C5A"/>
          <w:sz w:val="20"/>
          <w:szCs w:val="20"/>
        </w:rPr>
        <w:t xml:space="preserve">Next gate: </w:t>
      </w:r>
      <w:r>
        <w:rPr>
          <w:color w:val="17212B"/>
          <w:sz w:val="20"/>
          <w:szCs w:val="20"/>
        </w:rPr>
        <w:t xml:space="preserve">Business impact review</w:t>
      </w:r>
    </w:p>
    <w:p>
      <w:pPr>
        <w:spacing w:after="60" w:before="120"/>
      </w:pPr>
      <w:r>
        <w:rPr>
          <w:b/>
          <w:bCs/>
          <w:color w:val="1D3C5A"/>
          <w:sz w:val="22"/>
          <w:szCs w:val="22"/>
        </w:rPr>
        <w:t xml:space="preserve">Patch Availability And Feasibility</w:t>
      </w:r>
    </w:p>
    <w:p>
      <w:pPr>
        <w:spacing w:after="70"/>
        <w:ind w:left="220"/>
      </w:pPr>
      <w:r>
        <w:rPr>
          <w:b/>
          <w:bCs/>
          <w:color w:val="1D3C5A"/>
          <w:sz w:val="20"/>
          <w:szCs w:val="20"/>
        </w:rPr>
        <w:t xml:space="preserve">Owner: </w:t>
      </w:r>
      <w:r>
        <w:rPr>
          <w:color w:val="17212B"/>
          <w:sz w:val="20"/>
          <w:szCs w:val="20"/>
        </w:rPr>
        <w:t xml:space="preserve">Change owner or platform engineer</w:t>
      </w:r>
    </w:p>
    <w:p>
      <w:pPr>
        <w:spacing w:after="70"/>
        <w:ind w:left="220"/>
      </w:pPr>
      <w:r>
        <w:rPr>
          <w:b/>
          <w:bCs/>
          <w:color w:val="1D3C5A"/>
          <w:sz w:val="20"/>
          <w:szCs w:val="20"/>
        </w:rPr>
        <w:t xml:space="preserve">Required outcome: </w:t>
      </w:r>
      <w:r>
        <w:rPr>
          <w:color w:val="17212B"/>
          <w:sz w:val="20"/>
          <w:szCs w:val="20"/>
        </w:rPr>
        <w:t xml:space="preserve">Vendor patch note, affected version mapping, test evidence, rollback plan.</w:t>
      </w:r>
    </w:p>
    <w:p>
      <w:pPr>
        <w:spacing w:after="70"/>
        <w:ind w:left="220"/>
      </w:pPr>
      <w:r>
        <w:rPr>
          <w:b/>
          <w:bCs/>
          <w:color w:val="1D3C5A"/>
          <w:sz w:val="20"/>
          <w:szCs w:val="20"/>
        </w:rPr>
        <w:t xml:space="preserve">Next gate: </w:t>
      </w:r>
      <w:r>
        <w:rPr>
          <w:color w:val="17212B"/>
          <w:sz w:val="20"/>
          <w:szCs w:val="20"/>
        </w:rPr>
        <w:t xml:space="preserve">Patch feasibility review</w:t>
      </w:r>
    </w:p>
    <w:p>
      <w:pPr>
        <w:spacing w:after="60" w:before="120"/>
      </w:pPr>
      <w:r>
        <w:rPr>
          <w:b/>
          <w:bCs/>
          <w:color w:val="1D3C5A"/>
          <w:sz w:val="22"/>
          <w:szCs w:val="22"/>
        </w:rPr>
        <w:t xml:space="preserve">Human Source Review Event</w:t>
      </w:r>
    </w:p>
    <w:p>
      <w:pPr>
        <w:spacing w:after="70"/>
        <w:ind w:left="220"/>
      </w:pPr>
      <w:r>
        <w:rPr>
          <w:b/>
          <w:bCs/>
          <w:color w:val="1D3C5A"/>
          <w:sz w:val="20"/>
          <w:szCs w:val="20"/>
        </w:rPr>
        <w:t xml:space="preserve">Owner: </w:t>
      </w:r>
      <w:r>
        <w:rPr>
          <w:color w:val="17212B"/>
          <w:sz w:val="20"/>
          <w:szCs w:val="20"/>
        </w:rPr>
        <w:t xml:space="preserve">Security lead or CAB reviewer</w:t>
      </w:r>
    </w:p>
    <w:p>
      <w:pPr>
        <w:spacing w:after="70"/>
        <w:ind w:left="220"/>
      </w:pPr>
      <w:r>
        <w:rPr>
          <w:b/>
          <w:bCs/>
          <w:color w:val="1D3C5A"/>
          <w:sz w:val="20"/>
          <w:szCs w:val="20"/>
        </w:rPr>
        <w:t xml:space="preserve">Required outcome: </w:t>
      </w:r>
      <w:r>
        <w:rPr>
          <w:color w:val="17212B"/>
          <w:sz w:val="20"/>
          <w:szCs w:val="20"/>
        </w:rPr>
        <w:t xml:space="preserve">Named reviewer decision accepting or rejecting source records.</w:t>
      </w:r>
    </w:p>
    <w:p>
      <w:pPr>
        <w:spacing w:after="70"/>
        <w:ind w:left="220"/>
      </w:pPr>
      <w:r>
        <w:rPr>
          <w:b/>
          <w:bCs/>
          <w:color w:val="1D3C5A"/>
          <w:sz w:val="20"/>
          <w:szCs w:val="20"/>
        </w:rPr>
        <w:t xml:space="preserve">Next gate: </w:t>
      </w:r>
      <w:r>
        <w:rPr>
          <w:color w:val="17212B"/>
          <w:sz w:val="20"/>
          <w:szCs w:val="20"/>
        </w:rPr>
        <w:t xml:space="preserve">Human evidence review</w:t>
      </w:r>
    </w:p>
    <w:p>
      <w:pPr>
        <w:spacing w:after="60" w:before="120"/>
      </w:pPr>
      <w:r>
        <w:rPr>
          <w:b/>
          <w:bCs/>
          <w:color w:val="1D3C5A"/>
          <w:sz w:val="22"/>
          <w:szCs w:val="22"/>
        </w:rPr>
        <w:t xml:space="preserve">Human approval</w:t>
      </w:r>
    </w:p>
    <w:p>
      <w:pPr>
        <w:spacing w:after="70"/>
        <w:ind w:left="220"/>
      </w:pPr>
      <w:r>
        <w:rPr>
          <w:b/>
          <w:bCs/>
          <w:color w:val="1D3C5A"/>
          <w:sz w:val="20"/>
          <w:szCs w:val="20"/>
        </w:rPr>
        <w:t xml:space="preserve">Owner: </w:t>
      </w:r>
      <w:r>
        <w:rPr>
          <w:color w:val="17212B"/>
          <w:sz w:val="20"/>
          <w:szCs w:val="20"/>
        </w:rPr>
        <w:t xml:space="preserve">CAB / security lead</w:t>
      </w:r>
    </w:p>
    <w:p>
      <w:pPr>
        <w:spacing w:after="70"/>
        <w:ind w:left="220"/>
      </w:pPr>
      <w:r>
        <w:rPr>
          <w:b/>
          <w:bCs/>
          <w:color w:val="1D3C5A"/>
          <w:sz w:val="20"/>
          <w:szCs w:val="20"/>
        </w:rPr>
        <w:t xml:space="preserve">Required outcome: </w:t>
      </w:r>
      <w:r>
        <w:rPr>
          <w:color w:val="17212B"/>
          <w:sz w:val="20"/>
          <w:szCs w:val="20"/>
        </w:rPr>
        <w:t xml:space="preserve">Explicit approval remains required</w:t>
      </w:r>
    </w:p>
    <w:p>
      <w:pPr>
        <w:pStyle w:val="Heading1"/>
      </w:pPr>
      <w:r>
        <w:t xml:space="preserve">Automated Governance Analysis Completed</w:t>
      </w:r>
    </w:p>
    <w:p>
      <w:pPr>
        <w:pBdr>
          <w:left w:val="single" w:color="B7791F" w:sz="16"/>
        </w:pBdr>
        <w:shd w:fill="FFF6E4" w:val="clear"/>
        <w:spacing w:after="180" w:before="80"/>
        <w:ind w:left="160"/>
      </w:pPr>
      <w:r>
        <w:rPr>
          <w:b/>
          <w:bCs/>
          <w:color w:val="17212B"/>
        </w:rPr>
        <w:t xml:space="preserve">Human approval remains required. PatchForge does not approve CAB decisions, risk acceptance, patch deployment, or closure autonomously.</w:t>
      </w:r>
    </w:p>
    <w:p>
      <w:pPr>
        <w:pStyle w:val="ListParagraph"/>
        <w:numPr>
          <w:ilvl w:val="0"/>
          <w:numId w:val="1"/>
        </w:numPr>
        <w:spacing w:after="80"/>
      </w:pPr>
      <w:r>
        <w:rPr>
          <w:color w:val="17212B"/>
          <w:sz w:val="20"/>
          <w:szCs w:val="20"/>
        </w:rPr>
        <w:t xml:space="preserve">Normalised finding identity</w:t>
      </w:r>
    </w:p>
    <w:p>
      <w:pPr>
        <w:pStyle w:val="ListParagraph"/>
        <w:numPr>
          <w:ilvl w:val="0"/>
          <w:numId w:val="1"/>
        </w:numPr>
        <w:spacing w:after="80"/>
      </w:pPr>
      <w:r>
        <w:rPr>
          <w:color w:val="17212B"/>
          <w:sz w:val="20"/>
          <w:szCs w:val="20"/>
        </w:rPr>
        <w:t xml:space="preserve">Bound source provenance</w:t>
      </w:r>
    </w:p>
    <w:p>
      <w:pPr>
        <w:pStyle w:val="ListParagraph"/>
        <w:numPr>
          <w:ilvl w:val="0"/>
          <w:numId w:val="1"/>
        </w:numPr>
        <w:spacing w:after="80"/>
      </w:pPr>
      <w:r>
        <w:rPr>
          <w:color w:val="17212B"/>
          <w:sz w:val="20"/>
          <w:szCs w:val="20"/>
        </w:rPr>
        <w:t xml:space="preserve">Applied governance boundary</w:t>
      </w:r>
    </w:p>
    <w:p>
      <w:pPr>
        <w:pStyle w:val="ListParagraph"/>
        <w:numPr>
          <w:ilvl w:val="0"/>
          <w:numId w:val="1"/>
        </w:numPr>
        <w:spacing w:after="80"/>
      </w:pPr>
      <w:r>
        <w:rPr>
          <w:color w:val="17212B"/>
          <w:sz w:val="20"/>
          <w:szCs w:val="20"/>
        </w:rPr>
        <w:t xml:space="preserve">Correlated vendor/KEV advisory context</w:t>
      </w:r>
    </w:p>
    <w:p>
      <w:pPr>
        <w:pStyle w:val="ListParagraph"/>
        <w:numPr>
          <w:ilvl w:val="0"/>
          <w:numId w:val="1"/>
        </w:numPr>
        <w:spacing w:after="80"/>
      </w:pPr>
      <w:r>
        <w:rPr>
          <w:color w:val="17212B"/>
          <w:sz w:val="20"/>
          <w:szCs w:val="20"/>
        </w:rPr>
        <w:t xml:space="preserve">Attached exploit-probability signal</w:t>
      </w:r>
    </w:p>
    <w:p>
      <w:pPr>
        <w:pStyle w:val="ListParagraph"/>
        <w:numPr>
          <w:ilvl w:val="0"/>
          <w:numId w:val="1"/>
        </w:numPr>
        <w:spacing w:after="80"/>
      </w:pPr>
      <w:r>
        <w:rPr>
          <w:color w:val="17212B"/>
          <w:sz w:val="20"/>
          <w:szCs w:val="20"/>
        </w:rPr>
        <w:t xml:space="preserve">Generated Bayesian advisory snapshot</w:t>
      </w:r>
    </w:p>
    <w:p>
      <w:pPr>
        <w:pStyle w:val="ListParagraph"/>
        <w:numPr>
          <w:ilvl w:val="0"/>
          <w:numId w:val="1"/>
        </w:numPr>
        <w:spacing w:after="80"/>
      </w:pPr>
      <w:r>
        <w:rPr>
          <w:color w:val="17212B"/>
          <w:sz w:val="20"/>
          <w:szCs w:val="20"/>
        </w:rPr>
        <w:t xml:space="preserve">Recorded live source-feed refresh history</w:t>
      </w:r>
    </w:p>
    <w:p>
      <w:pPr>
        <w:pStyle w:val="Heading1"/>
      </w:pPr>
      <w:r>
        <w:t xml:space="preserve">Human Decisions Still Required</w:t>
      </w:r>
    </w:p>
    <w:p>
      <w:pPr>
        <w:pStyle w:val="ListParagraph"/>
        <w:numPr>
          <w:ilvl w:val="0"/>
          <w:numId w:val="1"/>
        </w:numPr>
        <w:spacing w:after="80"/>
      </w:pPr>
      <w:r>
        <w:rPr>
          <w:color w:val="17212B"/>
          <w:sz w:val="20"/>
          <w:szCs w:val="20"/>
        </w:rPr>
        <w:t xml:space="preserve">Review or attach missing evidence: Reviewed vulnerability identity evidence, Affected asset scope, Business service impact, Patch availability and feasibility, Human source review event.</w:t>
      </w:r>
    </w:p>
    <w:p>
      <w:pPr>
        <w:pStyle w:val="ListParagraph"/>
        <w:numPr>
          <w:ilvl w:val="0"/>
          <w:numId w:val="1"/>
        </w:numPr>
        <w:spacing w:after="80"/>
      </w:pPr>
      <w:r>
        <w:rPr>
          <w:color w:val="17212B"/>
          <w:sz w:val="20"/>
          <w:szCs w:val="20"/>
        </w:rPr>
        <w:t xml:space="preserve">Issue or withhold CAB/security/service-owner approval. PatchForge will not approve automatically.</w:t>
      </w:r>
    </w:p>
    <w:p>
      <w:pPr>
        <w:pStyle w:val="Heading1"/>
      </w:pPr>
      <w:r>
        <w:t xml:space="preserve">Source-Pack and Current-State Separation</w:t>
      </w:r>
    </w:p>
    <w:p>
      <w:pPr>
        <w:spacing w:after="120"/>
      </w:pPr>
      <w:r>
        <w:t xml:space="preserve">The signed source pack preserves the compiled evidence state at generation time. Current-state overlays, post-pack evidence events, human approvals, and later reviews must be recorded as separate accountable events.</w:t>
      </w:r>
    </w:p>
    <w:p>
      <w:pPr>
        <w:pStyle w:val="Heading1"/>
      </w:pPr>
      <w:r>
        <w:t xml:space="preserve">Decision Boundary</w:t>
      </w:r>
    </w:p>
    <w:p>
      <w:pPr>
        <w:pBdr>
          <w:left w:val="single" w:color="B7791F" w:sz="16"/>
        </w:pBdr>
        <w:shd w:fill="FFF6E4" w:val="clear"/>
        <w:spacing w:after="180" w:before="80"/>
        <w:ind w:left="160"/>
      </w:pPr>
      <w:r>
        <w:rPr>
          <w:b/>
          <w:bCs/>
          <w:color w:val="17212B"/>
        </w:rPr>
        <w:t xml:space="preserve">PatchForge is a governance product. It does not scan environments, generate exploit code, provide procedural exploit steps, deploy patches, mutate production systems, approve CAB decisions, or accept risk autonomously.</w:t>
      </w:r>
    </w:p>
    <w:p>
      <w:pPr>
        <w:pStyle w:val="Heading1"/>
      </w:pPr>
      <w:r>
        <w:t xml:space="preserve">Appendix: Signed Artefacts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rPr>
          <w:tblHeader/>
        </w:trPr>
        <w:tc>
          <w:tcPr>
            <w:tcW w:type="dxa" w:w="5800"/>
            <w:shd w:fill="1D3C5A" w:val="clear"/>
            <w:tcMar>
              <w:top w:type="dxa" w:w="100"/>
              <w:left w:type="dxa" w:w="120"/>
              <w:bottom w:type="dxa" w:w="100"/>
              <w:right w:type="dxa" w:w="120"/>
            </w:tcMar>
            <w:vAlign w:val="center"/>
          </w:tcPr>
          <w:p>
            <w:pPr>
              <w:spacing w:after="0" w:before="0"/>
              <w:jc w:val="left"/>
            </w:pPr>
            <w:r>
              <w:rPr>
                <w:b/>
                <w:bCs/>
                <w:color w:val="FFFFFF"/>
                <w:sz w:val="19"/>
                <w:szCs w:val="19"/>
              </w:rPr>
              <w:t xml:space="preserve">Artefact</w:t>
            </w:r>
          </w:p>
        </w:tc>
        <w:tc>
          <w:tcPr>
            <w:tcW w:type="dxa" w:w="3560"/>
            <w:shd w:fill="1D3C5A" w:val="clear"/>
            <w:tcMar>
              <w:top w:type="dxa" w:w="100"/>
              <w:left w:type="dxa" w:w="120"/>
              <w:bottom w:type="dxa" w:w="100"/>
              <w:right w:type="dxa" w:w="120"/>
            </w:tcMar>
            <w:vAlign w:val="center"/>
          </w:tcPr>
          <w:p>
            <w:pPr>
              <w:spacing w:after="0" w:before="0"/>
              <w:jc w:val="center"/>
            </w:pPr>
            <w:r>
              <w:rPr>
                <w:b/>
                <w:bCs/>
                <w:color w:val="FFFFFF"/>
                <w:sz w:val="19"/>
                <w:szCs w:val="19"/>
              </w:rPr>
              <w:t xml:space="preserve">Status</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affected_asset_scope.json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bayesian_patch_risk_snapshot.json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compensating_controls_plan.json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config_applicability_assessment.json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customer_network_asset_snapshot.json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exploitability_assessment.json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finding_intelligence_snapshot.json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governance_manifest.json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human_review_state.json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network_vendor_profile_snapshot.json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patch_change_readiness.json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patch_decision_context.json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patch_feasibility_assessment.json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patch_prior_update_proposal.json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FFFFFF"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patch_prior_usage_manifest.json</w:t>
            </w:r>
          </w:p>
        </w:tc>
        <w:tc>
          <w:tcPr>
            <w:tcW w:type="dxa" w:w="3560"/>
            <w:shd w:fill="FFFFFF"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r>
        <w:trPr>
          <w:tblHeader w:val="false"/>
        </w:trPr>
        <w:tc>
          <w:tcPr>
            <w:tcW w:type="dxa" w:w="5800"/>
            <w:shd w:fill="EEF3F7" w:val="clear"/>
            <w:tcMar>
              <w:top w:type="dxa" w:w="100"/>
              <w:left w:type="dxa" w:w="120"/>
              <w:bottom w:type="dxa" w:w="100"/>
              <w:right w:type="dxa" w:w="120"/>
            </w:tcMar>
            <w:vAlign w:val="center"/>
          </w:tcPr>
          <w:p>
            <w:pPr>
              <w:spacing w:after="0" w:before="0"/>
              <w:jc w:val="left"/>
            </w:pPr>
            <w:r>
              <w:rPr>
                <w:b w:val="false"/>
                <w:bCs w:val="false"/>
                <w:color w:val="17212B"/>
                <w:sz w:val="19"/>
                <w:szCs w:val="19"/>
              </w:rPr>
              <w:t xml:space="preserve">patch_risk_acceptance_state.json</w:t>
            </w:r>
          </w:p>
        </w:tc>
        <w:tc>
          <w:tcPr>
            <w:tcW w:type="dxa" w:w="3560"/>
            <w:shd w:fill="EEF3F7" w:val="clear"/>
            <w:tcMar>
              <w:top w:type="dxa" w:w="100"/>
              <w:left w:type="dxa" w:w="120"/>
              <w:bottom w:type="dxa" w:w="100"/>
              <w:right w:type="dxa" w:w="120"/>
            </w:tcMar>
            <w:vAlign w:val="center"/>
          </w:tcPr>
          <w:p>
            <w:pPr>
              <w:spacing w:after="0" w:before="0"/>
              <w:jc w:val="center"/>
            </w:pPr>
            <w:r>
              <w:rPr>
                <w:b w:val="false"/>
                <w:bCs w:val="false"/>
                <w:color w:val="17212B"/>
                <w:sz w:val="19"/>
                <w:szCs w:val="19"/>
              </w:rPr>
              <w:t xml:space="preserve">Preserved in signed pack export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7212B"/>
        <w:sz w:val="22"/>
        <w:szCs w:val="22"/>
      </w:rPr>
    </w:rPrDefault>
    <w:pPrDefault>
      <w:pPr>
        <w:spacing w:after="120"/>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2E74B5"/>
      <w:sz w:val="32"/>
      <w:szCs w:val="32"/>
    </w:rPr>
  </w:style>
  <w:style w:type="paragraph" w:styleId="Heading2">
    <w:name w:val="Heading 2"/>
    <w:basedOn w:val="Normal"/>
    <w:next w:val="Normal"/>
    <w:qFormat/>
    <w:pPr>
      <w:spacing w:after="120" w:before="240"/>
    </w:pPr>
    <w:rPr>
      <w:rFonts w:ascii="Calibri" w:cs="Calibri" w:eastAsia="Calibri" w:hAnsi="Calibri"/>
      <w:b/>
      <w:bCs/>
      <w:color w:val="2E74B5"/>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Patch Governance Pack</dc:title>
  <dc:creator>DIIaC PatchForge</dc:creator>
  <dc:description>Customer Patch Governance Pack for CVE-2026-48172</dc:description>
  <cp:lastModifiedBy>Un-named</cp:lastModifiedBy>
  <cp:revision>1</cp:revision>
  <dcterms:created xsi:type="dcterms:W3CDTF">2026-05-28T14:12:54.083Z</dcterms:created>
  <dcterms:modified xsi:type="dcterms:W3CDTF">2026-05-28T14:12:54.083Z</dcterms:modified>
</cp:coreProperties>
</file>

<file path=docProps/custom.xml><?xml version="1.0" encoding="utf-8"?>
<Properties xmlns="http://schemas.openxmlformats.org/officeDocument/2006/custom-properties" xmlns:vt="http://schemas.openxmlformats.org/officeDocument/2006/docPropsVTypes"/>
</file>