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PF-AZ8A-LOCAL-CVE-2026-48172</w:t>
      </w:r>
      <w:r>
        <w:rPr>
          <w:color w:val="17212B"/>
          <w:sz w:val="20"/>
          <w:szCs w:val="20"/>
        </w:rPr>
        <w:br/>
        <w:t xml:space="preserve">Generated 27/05/2026, 10:33:14.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A public-source vulnerability record indicates a privilege escalation condition affecting the LiteSpeed cPanel plugin. PatchForge treats this as a governed remediation decision until customer exposure and patch applicability are reviewed.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(25)</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PF-AZ8A-LOCAL-CVE-2026-48172</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Local Qa Signer</w:t>
      </w:r>
    </w:p>
    <w:p>
      <w:pPr>
        <w:spacing w:after="70"/>
        <w:ind w:left="180"/>
      </w:pPr>
      <w:r>
        <w:rPr>
          <w:b/>
          <w:bCs/>
          <w:color w:val="1D3C5A"/>
          <w:sz w:val="20"/>
          <w:szCs w:val="20"/>
        </w:rPr>
        <w:t xml:space="preserve">Signature algorithm: </w:t>
      </w:r>
      <w:r>
        <w:rPr>
          <w:color w:val="17212B"/>
          <w:sz w:val="20"/>
          <w:szCs w:val="20"/>
        </w:rPr>
        <w:t xml:space="preserve">local-qa</w:t>
      </w:r>
    </w:p>
    <w:p>
      <w:pPr>
        <w:spacing w:after="70"/>
        <w:ind w:left="180"/>
      </w:pPr>
      <w:r>
        <w:rPr>
          <w:b/>
          <w:bCs/>
          <w:color w:val="1D3C5A"/>
          <w:sz w:val="20"/>
          <w:szCs w:val="20"/>
        </w:rPr>
        <w:t xml:space="preserve">Governance manifest SHA-256: </w:t>
      </w:r>
      <w:r>
        <w:rPr>
          <w:color w:val="17212B"/>
          <w:sz w:val="20"/>
          <w:szCs w:val="20"/>
        </w:rPr>
        <w:t xml:space="preserve">local-qa</w:t>
      </w:r>
    </w:p>
    <w:p>
      <w:pPr>
        <w:spacing w:after="70"/>
        <w:ind w:left="180"/>
      </w:pPr>
      <w:r>
        <w:rPr>
          <w:b/>
          <w:bCs/>
          <w:color w:val="1D3C5A"/>
          <w:sz w:val="20"/>
          <w:szCs w:val="20"/>
        </w:rPr>
        <w:t xml:space="preserve">Evidence references: </w:t>
      </w:r>
      <w:r>
        <w:rPr>
          <w:color w:val="17212B"/>
          <w:sz w:val="20"/>
          <w:szCs w:val="20"/>
        </w:rPr>
        <w:t xml:space="preserve">1</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Not recorded</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64%</w:t>
      </w:r>
    </w:p>
    <w:p>
      <w:pPr>
        <w:spacing w:after="70"/>
        <w:ind w:left="180"/>
      </w:pPr>
      <w:r>
        <w:rPr>
          <w:b/>
          <w:bCs/>
          <w:color w:val="1D3C5A"/>
          <w:sz w:val="20"/>
          <w:szCs w:val="20"/>
        </w:rPr>
        <w:t xml:space="preserve">Business impact posterior: </w:t>
      </w:r>
      <w:r>
        <w:rPr>
          <w:color w:val="17212B"/>
          <w:sz w:val="20"/>
          <w:szCs w:val="20"/>
        </w:rPr>
        <w:t xml:space="preserve">50%</w:t>
      </w:r>
    </w:p>
    <w:p>
      <w:pPr>
        <w:spacing w:after="70"/>
        <w:ind w:left="180"/>
      </w:pPr>
      <w:r>
        <w:rPr>
          <w:b/>
          <w:bCs/>
          <w:color w:val="1D3C5A"/>
          <w:sz w:val="20"/>
          <w:szCs w:val="20"/>
        </w:rPr>
        <w:t xml:space="preserve">Patch feasibility posterior: </w:t>
      </w:r>
      <w:r>
        <w:rPr>
          <w:color w:val="17212B"/>
          <w:sz w:val="20"/>
          <w:szCs w:val="20"/>
        </w:rPr>
        <w:t xml:space="preserve">25%</w:t>
      </w:r>
    </w:p>
    <w:p>
      <w:pPr>
        <w:spacing w:after="70"/>
        <w:ind w:left="180"/>
      </w:pPr>
      <w:r>
        <w:rPr>
          <w:b/>
          <w:bCs/>
          <w:color w:val="1D3C5A"/>
          <w:sz w:val="20"/>
          <w:szCs w:val="20"/>
        </w:rPr>
        <w:t xml:space="preserve">Change risk posterior: </w:t>
      </w:r>
      <w:r>
        <w:rPr>
          <w:color w:val="17212B"/>
          <w:sz w:val="20"/>
          <w:szCs w:val="20"/>
        </w:rPr>
        <w:t xml:space="preserve">42%</w:t>
      </w:r>
    </w:p>
    <w:p>
      <w:pPr>
        <w:spacing w:after="70"/>
        <w:ind w:left="180"/>
      </w:pPr>
      <w:r>
        <w:rPr>
          <w:b/>
          <w:bCs/>
          <w:color w:val="1D3C5A"/>
          <w:sz w:val="20"/>
          <w:szCs w:val="20"/>
        </w:rPr>
        <w:t xml:space="preserve">Deferral risk posterior: </w:t>
      </w:r>
      <w:r>
        <w:rPr>
          <w:color w:val="17212B"/>
          <w:sz w:val="20"/>
          <w:szCs w:val="20"/>
        </w:rPr>
        <w:t xml:space="preserve">78%</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w:t>
      </w:r>
    </w:p>
    <w:p>
      <w:pPr>
        <w:spacing w:after="70"/>
        <w:ind w:left="180"/>
      </w:pPr>
      <w:r>
        <w:rPr>
          <w:b/>
          <w:bCs/>
          <w:color w:val="1D3C5A"/>
          <w:sz w:val="20"/>
          <w:szCs w:val="20"/>
        </w:rPr>
        <w:t xml:space="preserve">Critical open advisories: </w:t>
      </w:r>
      <w:r>
        <w:rPr>
          <w:color w:val="17212B"/>
          <w:sz w:val="20"/>
          <w:szCs w:val="20"/>
        </w:rPr>
        <w:t xml:space="preserve">1</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Generate a signed decision pack after analysis review.</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threat_landscape_snapshot.json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vendor_intelligence_snapshot.json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verification_manifest.json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vulnerability_intelligence_snapshot.json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2026-05-27T10:33:14.748Z</dcterms:created>
  <dcterms:modified xsi:type="dcterms:W3CDTF">2026-05-27T10:33:14.748Z</dcterms:modified>
</cp:coreProperties>
</file>

<file path=docProps/custom.xml><?xml version="1.0" encoding="utf-8"?>
<Properties xmlns="http://schemas.openxmlformats.org/officeDocument/2006/custom-properties" xmlns:vt="http://schemas.openxmlformats.org/officeDocument/2006/docPropsVTypes"/>
</file>